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eastAsiaTheme="majorEastAsia"/>
          <w:sz w:val="36"/>
          <w:szCs w:val="36"/>
        </w:rPr>
      </w:pPr>
      <w:r>
        <w:rPr>
          <w:rFonts w:hint="eastAsia" w:ascii="Times New Roman" w:hAnsi="Times New Roman" w:cs="Times New Roman" w:eastAsiaTheme="majorEastAsia"/>
          <w:sz w:val="36"/>
          <w:szCs w:val="36"/>
        </w:rPr>
        <w:t>2022年度第一批中央城镇保障性安居工程专项资金、</w:t>
      </w:r>
    </w:p>
    <w:p>
      <w:pPr>
        <w:pStyle w:val="3"/>
        <w:jc w:val="center"/>
        <w:rPr>
          <w:rFonts w:hint="eastAsia" w:ascii="Times New Roman" w:hAnsi="Times New Roman" w:cs="Times New Roman" w:eastAsiaTheme="majorEastAsia"/>
          <w:sz w:val="36"/>
          <w:szCs w:val="36"/>
        </w:rPr>
      </w:pPr>
      <w:r>
        <w:rPr>
          <w:rFonts w:hint="eastAsia" w:ascii="Times New Roman" w:hAnsi="Times New Roman" w:cs="Times New Roman" w:eastAsiaTheme="majorEastAsia"/>
          <w:sz w:val="36"/>
          <w:szCs w:val="36"/>
        </w:rPr>
        <w:t>2022年第二批中央城镇保障性安居工程专项资金、</w:t>
      </w:r>
    </w:p>
    <w:p>
      <w:pPr>
        <w:pStyle w:val="3"/>
        <w:jc w:val="center"/>
        <w:rPr>
          <w:rFonts w:hint="eastAsia" w:ascii="Times New Roman" w:hAnsi="Times New Roman" w:cs="Times New Roman" w:eastAsiaTheme="majorEastAsia"/>
          <w:sz w:val="36"/>
          <w:szCs w:val="36"/>
        </w:rPr>
      </w:pPr>
      <w:r>
        <w:rPr>
          <w:rFonts w:hint="eastAsia" w:ascii="Times New Roman" w:hAnsi="Times New Roman" w:cs="Times New Roman" w:eastAsiaTheme="majorEastAsia"/>
          <w:sz w:val="36"/>
          <w:szCs w:val="36"/>
        </w:rPr>
        <w:t>招商地产退回中央住房租赁市场发展资金、</w:t>
      </w:r>
    </w:p>
    <w:p>
      <w:pPr>
        <w:pStyle w:val="3"/>
        <w:jc w:val="center"/>
        <w:rPr>
          <w:rFonts w:ascii="Times New Roman" w:hAnsi="Times New Roman" w:cs="Times New Roman" w:eastAsiaTheme="majorEastAsia"/>
          <w:sz w:val="36"/>
          <w:szCs w:val="36"/>
        </w:rPr>
      </w:pPr>
      <w:r>
        <w:rPr>
          <w:rFonts w:hint="eastAsia" w:ascii="Times New Roman" w:hAnsi="Times New Roman" w:cs="Times New Roman" w:eastAsiaTheme="majorEastAsia"/>
          <w:sz w:val="36"/>
          <w:szCs w:val="36"/>
        </w:rPr>
        <w:t>市财政局2022年中央财政城镇保障性安居工程补助资金项目</w:t>
      </w:r>
      <w:r>
        <w:rPr>
          <w:rFonts w:ascii="Times New Roman" w:hAnsi="Times New Roman" w:cs="Times New Roman" w:eastAsiaTheme="majorEastAsia"/>
          <w:sz w:val="36"/>
          <w:szCs w:val="36"/>
        </w:rPr>
        <w:t>自评结果</w:t>
      </w:r>
    </w:p>
    <w:p>
      <w:pPr>
        <w:pStyle w:val="8"/>
        <w:shd w:val="clear" w:color="auto" w:fill="FFFFFF" w:themeFill="background1"/>
        <w:spacing w:line="560" w:lineRule="exact"/>
        <w:ind w:firstLine="0" w:firstLineChars="0"/>
        <w:jc w:val="center"/>
        <w:outlineLvl w:val="9"/>
      </w:pPr>
      <w:r>
        <w:rPr>
          <w:rFonts w:hint="eastAsia" w:ascii="楷体" w:hAnsi="楷体" w:eastAsia="楷体" w:cs="楷体"/>
          <w:b/>
          <w:sz w:val="32"/>
        </w:rPr>
        <w:t>（缩略版）</w:t>
      </w:r>
    </w:p>
    <w:p>
      <w:pPr>
        <w:widowControl/>
        <w:spacing w:line="560" w:lineRule="exact"/>
        <w:ind w:firstLine="643" w:firstLineChars="200"/>
        <w:outlineLvl w:val="0"/>
        <w:rPr>
          <w:rFonts w:eastAsia="宋体"/>
          <w:b/>
          <w:bCs/>
          <w:color w:val="000000"/>
          <w:kern w:val="0"/>
          <w:sz w:val="32"/>
          <w:szCs w:val="32"/>
        </w:rPr>
      </w:pPr>
      <w:r>
        <w:rPr>
          <w:rFonts w:eastAsia="黑体"/>
          <w:b/>
          <w:bCs/>
          <w:color w:val="000000"/>
          <w:kern w:val="0"/>
          <w:sz w:val="32"/>
          <w:szCs w:val="32"/>
        </w:rPr>
        <w:t>一、自评结论</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（一）自评得分</w:t>
      </w:r>
    </w:p>
    <w:p>
      <w:pPr>
        <w:widowControl/>
        <w:spacing w:line="560" w:lineRule="exact"/>
        <w:ind w:firstLine="640" w:firstLineChars="200"/>
        <w:rPr>
          <w:rFonts w:eastAsia="仿宋"/>
          <w:sz w:val="32"/>
          <w:szCs w:val="32"/>
        </w:rPr>
      </w:pPr>
      <w:r>
        <w:rPr>
          <w:rFonts w:hint="eastAsia" w:eastAsia="仿宋"/>
          <w:sz w:val="32"/>
          <w:szCs w:val="32"/>
          <w:lang w:eastAsia="zh-CN"/>
        </w:rPr>
        <w:t>2022年度</w:t>
      </w:r>
      <w:r>
        <w:rPr>
          <w:rFonts w:hint="eastAsia" w:eastAsia="仿宋"/>
          <w:sz w:val="32"/>
          <w:szCs w:val="32"/>
          <w:lang w:val="en-US" w:eastAsia="zh-CN"/>
        </w:rPr>
        <w:t>本</w:t>
      </w:r>
      <w:r>
        <w:rPr>
          <w:rFonts w:hint="eastAsia" w:eastAsia="仿宋"/>
          <w:sz w:val="32"/>
          <w:szCs w:val="32"/>
          <w:lang w:eastAsia="zh-CN"/>
        </w:rPr>
        <w:t>项目</w:t>
      </w:r>
      <w:r>
        <w:rPr>
          <w:rFonts w:eastAsia="仿宋"/>
          <w:sz w:val="32"/>
          <w:szCs w:val="32"/>
        </w:rPr>
        <w:t>绩效评价综合得分为</w:t>
      </w:r>
      <w:r>
        <w:rPr>
          <w:rFonts w:hint="eastAsia" w:eastAsia="仿宋"/>
          <w:sz w:val="32"/>
          <w:szCs w:val="32"/>
        </w:rPr>
        <w:t>9</w:t>
      </w:r>
      <w:r>
        <w:rPr>
          <w:rFonts w:hint="eastAsia" w:eastAsia="仿宋"/>
          <w:sz w:val="32"/>
          <w:szCs w:val="32"/>
          <w:lang w:val="en-US" w:eastAsia="zh-CN"/>
        </w:rPr>
        <w:t>6</w:t>
      </w:r>
      <w:r>
        <w:rPr>
          <w:rFonts w:eastAsia="仿宋"/>
          <w:sz w:val="32"/>
          <w:szCs w:val="32"/>
        </w:rPr>
        <w:t>分。</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（二）绩效目标完成情况</w:t>
      </w:r>
    </w:p>
    <w:p>
      <w:pPr>
        <w:widowControl/>
        <w:spacing w:line="560" w:lineRule="exact"/>
        <w:ind w:firstLine="640" w:firstLineChars="200"/>
        <w:rPr>
          <w:rFonts w:eastAsia="仿宋"/>
          <w:sz w:val="32"/>
          <w:szCs w:val="32"/>
        </w:rPr>
      </w:pPr>
      <w:r>
        <w:rPr>
          <w:rFonts w:eastAsia="仿宋"/>
          <w:sz w:val="32"/>
          <w:szCs w:val="32"/>
        </w:rPr>
        <w:t>1.执行率情况。本项目预算总额</w:t>
      </w:r>
      <w:r>
        <w:rPr>
          <w:rFonts w:hint="eastAsia" w:eastAsia="仿宋"/>
          <w:sz w:val="32"/>
          <w:szCs w:val="32"/>
        </w:rPr>
        <w:t>1,852.00</w:t>
      </w:r>
      <w:r>
        <w:rPr>
          <w:rFonts w:eastAsia="仿宋"/>
          <w:sz w:val="32"/>
          <w:szCs w:val="32"/>
        </w:rPr>
        <w:t>万元，执行数</w:t>
      </w:r>
      <w:r>
        <w:rPr>
          <w:rFonts w:hint="eastAsia" w:eastAsia="仿宋"/>
          <w:sz w:val="32"/>
          <w:szCs w:val="32"/>
        </w:rPr>
        <w:t>1,852.00</w:t>
      </w:r>
      <w:r>
        <w:rPr>
          <w:rFonts w:eastAsia="仿宋"/>
          <w:sz w:val="32"/>
          <w:szCs w:val="32"/>
        </w:rPr>
        <w:t>万元，预算执行率</w:t>
      </w:r>
      <w:r>
        <w:rPr>
          <w:rFonts w:hint="eastAsia" w:eastAsia="仿宋"/>
          <w:sz w:val="32"/>
          <w:szCs w:val="32"/>
          <w:lang w:val="en-US" w:eastAsia="zh-CN"/>
        </w:rPr>
        <w:t>100</w:t>
      </w:r>
      <w:r>
        <w:rPr>
          <w:rFonts w:hint="eastAsia" w:eastAsia="仿宋"/>
          <w:sz w:val="32"/>
          <w:szCs w:val="32"/>
        </w:rPr>
        <w:t>%</w:t>
      </w:r>
      <w:r>
        <w:rPr>
          <w:rFonts w:eastAsia="仿宋"/>
          <w:sz w:val="32"/>
          <w:szCs w:val="32"/>
        </w:rPr>
        <w:t>。</w:t>
      </w:r>
    </w:p>
    <w:p>
      <w:pPr>
        <w:widowControl/>
        <w:spacing w:line="560" w:lineRule="exact"/>
        <w:ind w:firstLine="640" w:firstLineChars="200"/>
        <w:rPr>
          <w:rFonts w:eastAsia="仿宋"/>
          <w:sz w:val="32"/>
          <w:szCs w:val="32"/>
        </w:rPr>
      </w:pPr>
      <w:r>
        <w:rPr>
          <w:rFonts w:eastAsia="仿宋"/>
          <w:sz w:val="32"/>
          <w:szCs w:val="32"/>
        </w:rPr>
        <w:t>2.完成的绩效目标。项目共设置</w:t>
      </w:r>
      <w:r>
        <w:rPr>
          <w:rFonts w:hint="eastAsia" w:eastAsia="仿宋"/>
          <w:sz w:val="32"/>
          <w:szCs w:val="32"/>
          <w:lang w:val="en-US" w:eastAsia="zh-CN"/>
        </w:rPr>
        <w:t>11</w:t>
      </w:r>
      <w:r>
        <w:rPr>
          <w:rFonts w:eastAsia="仿宋"/>
          <w:sz w:val="32"/>
          <w:szCs w:val="32"/>
        </w:rPr>
        <w:t>个绩效指标，完成了</w:t>
      </w:r>
      <w:r>
        <w:rPr>
          <w:rFonts w:hint="eastAsia" w:eastAsia="仿宋"/>
          <w:sz w:val="32"/>
          <w:szCs w:val="32"/>
          <w:lang w:val="en-US" w:eastAsia="zh-CN"/>
        </w:rPr>
        <w:t>9</w:t>
      </w:r>
      <w:r>
        <w:rPr>
          <w:rFonts w:eastAsia="仿宋"/>
          <w:sz w:val="32"/>
          <w:szCs w:val="32"/>
        </w:rPr>
        <w:t>个。项目产出较好，并取得了较好的社会效益。</w:t>
      </w:r>
    </w:p>
    <w:p>
      <w:pPr>
        <w:widowControl/>
        <w:spacing w:line="560" w:lineRule="exact"/>
        <w:ind w:firstLine="640" w:firstLineChars="200"/>
        <w:rPr>
          <w:rFonts w:eastAsia="仿宋"/>
          <w:sz w:val="32"/>
          <w:szCs w:val="32"/>
        </w:rPr>
      </w:pPr>
      <w:r>
        <w:rPr>
          <w:rFonts w:eastAsia="仿宋"/>
          <w:sz w:val="32"/>
          <w:szCs w:val="32"/>
        </w:rPr>
        <w:t>3.未完成的绩效目标。</w:t>
      </w:r>
      <w:r>
        <w:rPr>
          <w:rFonts w:hint="eastAsia" w:eastAsia="仿宋"/>
          <w:sz w:val="32"/>
          <w:szCs w:val="32"/>
          <w:lang w:val="en-US" w:eastAsia="zh-CN"/>
        </w:rPr>
        <w:t>“项目专项资金合规使用”年初目标值未完成，主要因为武汉三本园区运营有限公司涉嫌骗取国家财补资金505万元；“新增房源和住房租赁合同网签备案率”年初目标值未完成，主要原因为租赁企业的部分违法违规经营行为无相关法律法规约束，租赁企业依规登记备案率较低。</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（三）存在的问题和原因</w:t>
      </w:r>
    </w:p>
    <w:p>
      <w:pPr>
        <w:widowControl/>
        <w:spacing w:line="560" w:lineRule="exact"/>
        <w:ind w:firstLine="643" w:firstLineChars="200"/>
        <w:outlineLvl w:val="2"/>
        <w:rPr>
          <w:rFonts w:eastAsia="仿宋"/>
          <w:b/>
          <w:sz w:val="32"/>
          <w:szCs w:val="32"/>
        </w:rPr>
      </w:pPr>
      <w:r>
        <w:rPr>
          <w:rFonts w:eastAsia="仿宋"/>
          <w:b/>
          <w:sz w:val="32"/>
          <w:szCs w:val="32"/>
        </w:rPr>
        <w:t>1.上年度绩效评价结果应用情况</w:t>
      </w:r>
    </w:p>
    <w:p>
      <w:pPr>
        <w:widowControl/>
        <w:spacing w:line="560" w:lineRule="exact"/>
        <w:ind w:firstLine="640" w:firstLineChars="200"/>
        <w:rPr>
          <w:rFonts w:hint="eastAsia" w:eastAsia="仿宋"/>
          <w:sz w:val="32"/>
          <w:szCs w:val="32"/>
          <w:lang w:val="en-US" w:eastAsia="zh-CN"/>
        </w:rPr>
      </w:pPr>
      <w:r>
        <w:rPr>
          <w:rFonts w:hint="eastAsia" w:eastAsia="仿宋"/>
          <w:sz w:val="32"/>
          <w:szCs w:val="32"/>
        </w:rPr>
        <w:t>本项目</w:t>
      </w:r>
      <w:r>
        <w:rPr>
          <w:rFonts w:hint="eastAsia" w:eastAsia="仿宋"/>
          <w:sz w:val="32"/>
          <w:szCs w:val="32"/>
          <w:lang w:val="en-US" w:eastAsia="zh-CN"/>
        </w:rPr>
        <w:t>为</w:t>
      </w:r>
      <w:r>
        <w:rPr>
          <w:rFonts w:hint="eastAsia" w:eastAsia="仿宋"/>
          <w:sz w:val="32"/>
          <w:szCs w:val="32"/>
        </w:rPr>
        <w:t>一次性项目，</w:t>
      </w:r>
      <w:r>
        <w:rPr>
          <w:rFonts w:hint="eastAsia" w:eastAsia="仿宋"/>
          <w:sz w:val="32"/>
          <w:szCs w:val="32"/>
          <w:lang w:val="en-US" w:eastAsia="zh-CN"/>
        </w:rPr>
        <w:t>无需要应用的</w:t>
      </w:r>
      <w:r>
        <w:rPr>
          <w:rFonts w:hint="eastAsia" w:eastAsia="仿宋"/>
          <w:sz w:val="32"/>
          <w:szCs w:val="32"/>
        </w:rPr>
        <w:t>上年度绩效自评结果</w:t>
      </w:r>
      <w:r>
        <w:rPr>
          <w:rFonts w:hint="eastAsia" w:ascii="仿宋" w:hAnsi="仿宋" w:eastAsia="仿宋" w:cs="仿宋"/>
          <w:sz w:val="30"/>
          <w:szCs w:val="30"/>
          <w:lang w:eastAsia="zh-CN"/>
        </w:rPr>
        <w:t>。</w:t>
      </w:r>
    </w:p>
    <w:p>
      <w:pPr>
        <w:widowControl/>
        <w:spacing w:line="560" w:lineRule="exact"/>
        <w:ind w:firstLine="643" w:firstLineChars="200"/>
        <w:outlineLvl w:val="2"/>
        <w:rPr>
          <w:rFonts w:eastAsia="仿宋"/>
          <w:b/>
          <w:sz w:val="32"/>
          <w:szCs w:val="32"/>
        </w:rPr>
      </w:pPr>
      <w:r>
        <w:rPr>
          <w:rFonts w:eastAsia="仿宋"/>
          <w:b/>
          <w:sz w:val="32"/>
          <w:szCs w:val="32"/>
        </w:rPr>
        <w:t>2.本年度绩效存在的问题和原因</w:t>
      </w:r>
      <w:r>
        <w:rPr>
          <w:rFonts w:hint="eastAsia" w:eastAsia="仿宋"/>
          <w:b/>
          <w:sz w:val="32"/>
          <w:szCs w:val="32"/>
        </w:rPr>
        <w:t xml:space="preserve">                                                                                                                               </w:t>
      </w:r>
    </w:p>
    <w:p>
      <w:pPr>
        <w:widowControl/>
        <w:spacing w:line="560" w:lineRule="exact"/>
        <w:ind w:firstLine="640" w:firstLineChars="200"/>
        <w:rPr>
          <w:rFonts w:hint="eastAsia" w:eastAsia="仿宋"/>
          <w:sz w:val="32"/>
          <w:szCs w:val="32"/>
          <w:lang w:val="en-US" w:eastAsia="zh-CN"/>
        </w:rPr>
      </w:pPr>
      <w:r>
        <w:rPr>
          <w:rFonts w:hint="eastAsia" w:eastAsia="仿宋"/>
          <w:sz w:val="32"/>
          <w:szCs w:val="32"/>
        </w:rPr>
        <w:t>（1）对申请企业、单位的资格条件、相关资料和支持金额等初审</w:t>
      </w:r>
      <w:r>
        <w:rPr>
          <w:rFonts w:hint="eastAsia" w:eastAsia="仿宋"/>
          <w:sz w:val="32"/>
          <w:szCs w:val="32"/>
          <w:lang w:val="en-US" w:eastAsia="zh-CN"/>
        </w:rPr>
        <w:t>工作有待加强。</w:t>
      </w:r>
      <w:r>
        <w:rPr>
          <w:rFonts w:hint="eastAsia" w:eastAsia="仿宋"/>
          <w:sz w:val="32"/>
          <w:szCs w:val="32"/>
        </w:rPr>
        <w:t>武汉三本园区运营有限公司涉嫌骗取国家财补资金505万元</w:t>
      </w:r>
      <w:r>
        <w:rPr>
          <w:rFonts w:hint="eastAsia" w:eastAsia="仿宋"/>
          <w:sz w:val="32"/>
          <w:szCs w:val="32"/>
          <w:lang w:eastAsia="zh-CN"/>
        </w:rPr>
        <w:t>。</w:t>
      </w:r>
      <w:r>
        <w:rPr>
          <w:rFonts w:hint="eastAsia" w:eastAsia="仿宋"/>
          <w:sz w:val="32"/>
          <w:szCs w:val="32"/>
          <w:lang w:val="en-US" w:eastAsia="zh-CN"/>
        </w:rPr>
        <w:t>2022年11月24日，根据《</w:t>
      </w:r>
      <w:r>
        <w:rPr>
          <w:rFonts w:hint="eastAsia" w:eastAsia="仿宋"/>
          <w:sz w:val="32"/>
          <w:szCs w:val="32"/>
        </w:rPr>
        <w:t>武汉经济技术开发区住房和城乡建设局关于收回“三本公寓”项目住房租赁市场发展专项资金的督办函</w:t>
      </w:r>
      <w:r>
        <w:rPr>
          <w:rFonts w:hint="eastAsia" w:eastAsia="仿宋"/>
          <w:sz w:val="32"/>
          <w:szCs w:val="32"/>
          <w:lang w:val="en-US" w:eastAsia="zh-CN"/>
        </w:rPr>
        <w:t>》，</w:t>
      </w:r>
      <w:r>
        <w:rPr>
          <w:rFonts w:hint="eastAsia" w:eastAsia="仿宋"/>
          <w:sz w:val="32"/>
          <w:szCs w:val="32"/>
        </w:rPr>
        <w:t>武汉三本园区运营有限公司</w:t>
      </w:r>
      <w:r>
        <w:rPr>
          <w:rFonts w:hint="eastAsia" w:eastAsia="仿宋"/>
          <w:sz w:val="32"/>
          <w:szCs w:val="32"/>
          <w:lang w:val="en-US" w:eastAsia="zh-CN"/>
        </w:rPr>
        <w:t>已将上述资金及利息退回至</w:t>
      </w:r>
      <w:r>
        <w:rPr>
          <w:rFonts w:hint="eastAsia" w:eastAsia="仿宋"/>
          <w:sz w:val="32"/>
          <w:szCs w:val="32"/>
        </w:rPr>
        <w:t>武汉经济技术开发区住房和城乡建设局</w:t>
      </w:r>
      <w:r>
        <w:rPr>
          <w:rFonts w:hint="eastAsia" w:eastAsia="仿宋"/>
          <w:sz w:val="32"/>
          <w:szCs w:val="32"/>
          <w:lang w:val="en-US" w:eastAsia="zh-CN"/>
        </w:rPr>
        <w:t>账户。</w:t>
      </w:r>
    </w:p>
    <w:p>
      <w:pPr>
        <w:widowControl/>
        <w:spacing w:line="560" w:lineRule="exact"/>
        <w:ind w:firstLine="640" w:firstLineChars="200"/>
        <w:rPr>
          <w:rFonts w:hint="default" w:eastAsia="仿宋"/>
          <w:sz w:val="32"/>
          <w:szCs w:val="32"/>
          <w:lang w:val="en-US" w:eastAsia="zh-CN"/>
        </w:rPr>
      </w:pPr>
      <w:r>
        <w:rPr>
          <w:rFonts w:eastAsia="仿宋"/>
          <w:sz w:val="32"/>
          <w:szCs w:val="32"/>
        </w:rPr>
        <w:t>（2）</w:t>
      </w:r>
      <w:r>
        <w:rPr>
          <w:rFonts w:hint="eastAsia" w:eastAsia="仿宋"/>
          <w:sz w:val="32"/>
          <w:szCs w:val="32"/>
          <w:lang w:val="en-US" w:eastAsia="zh-CN"/>
        </w:rPr>
        <w:t>新增房源和住房租赁合同网签备案率较低。主要原因为租赁企业的部分违法违规经营行为无相关法律法规约束，租赁企业依规登记备案率较低，存在问题的租赁企业一般不会主动到房管部门办理备案，只有等到租户发现问题投诉后，才能展开调查。</w:t>
      </w:r>
    </w:p>
    <w:p>
      <w:pPr>
        <w:widowControl/>
        <w:spacing w:line="560" w:lineRule="exact"/>
        <w:ind w:firstLine="643" w:firstLineChars="200"/>
        <w:jc w:val="left"/>
        <w:outlineLvl w:val="1"/>
        <w:rPr>
          <w:rFonts w:eastAsia="宋体"/>
          <w:color w:val="000000"/>
          <w:kern w:val="0"/>
          <w:sz w:val="24"/>
        </w:rPr>
      </w:pPr>
      <w:r>
        <w:rPr>
          <w:rFonts w:eastAsia="楷体"/>
          <w:b/>
          <w:bCs/>
          <w:color w:val="000000"/>
          <w:kern w:val="0"/>
          <w:sz w:val="32"/>
          <w:szCs w:val="32"/>
        </w:rPr>
        <w:t>（四）下一步拟改进措施</w:t>
      </w:r>
    </w:p>
    <w:p>
      <w:pPr>
        <w:widowControl/>
        <w:spacing w:line="560" w:lineRule="exact"/>
        <w:ind w:firstLine="643" w:firstLineChars="200"/>
        <w:outlineLvl w:val="2"/>
        <w:rPr>
          <w:rFonts w:eastAsia="仿宋"/>
          <w:b/>
          <w:sz w:val="32"/>
          <w:szCs w:val="32"/>
        </w:rPr>
      </w:pPr>
      <w:r>
        <w:rPr>
          <w:rFonts w:eastAsia="仿宋"/>
          <w:b/>
          <w:sz w:val="32"/>
          <w:szCs w:val="32"/>
        </w:rPr>
        <w:t>1.下一步拟改进措施</w:t>
      </w:r>
    </w:p>
    <w:p>
      <w:pPr>
        <w:widowControl/>
        <w:spacing w:line="560" w:lineRule="exact"/>
        <w:ind w:firstLine="640" w:firstLineChars="200"/>
        <w:rPr>
          <w:rFonts w:hint="eastAsia" w:eastAsia="仿宋"/>
          <w:sz w:val="32"/>
          <w:szCs w:val="32"/>
          <w:lang w:eastAsia="zh-CN"/>
        </w:rPr>
      </w:pPr>
      <w:r>
        <w:rPr>
          <w:rFonts w:eastAsia="仿宋"/>
          <w:sz w:val="32"/>
          <w:szCs w:val="32"/>
        </w:rPr>
        <w:t>（1）</w:t>
      </w:r>
      <w:r>
        <w:rPr>
          <w:rFonts w:hint="eastAsia" w:eastAsia="仿宋"/>
          <w:sz w:val="32"/>
          <w:szCs w:val="32"/>
        </w:rPr>
        <w:t>积极落实《市财政局市住房保障和房屋管理局关于进一步规范完善武汉市住房租赁市场发展专项资金管理办法的通知》（武财综【2021】286号），</w:t>
      </w:r>
      <w:r>
        <w:rPr>
          <w:rFonts w:hint="eastAsia" w:eastAsia="仿宋"/>
          <w:sz w:val="32"/>
          <w:szCs w:val="32"/>
          <w:lang w:val="en-US" w:eastAsia="zh-CN"/>
        </w:rPr>
        <w:t>加强对</w:t>
      </w:r>
      <w:r>
        <w:rPr>
          <w:rFonts w:hint="eastAsia" w:eastAsia="仿宋"/>
          <w:sz w:val="32"/>
          <w:szCs w:val="32"/>
        </w:rPr>
        <w:t>申请企业、单位的资格条件、相关资料和支持金额初审</w:t>
      </w:r>
      <w:r>
        <w:rPr>
          <w:rFonts w:hint="eastAsia" w:eastAsia="仿宋"/>
          <w:sz w:val="32"/>
          <w:szCs w:val="32"/>
          <w:lang w:val="en-US" w:eastAsia="zh-CN"/>
        </w:rPr>
        <w:t>工作，</w:t>
      </w:r>
      <w:r>
        <w:rPr>
          <w:rFonts w:hint="eastAsia" w:eastAsia="仿宋"/>
          <w:sz w:val="32"/>
          <w:szCs w:val="32"/>
        </w:rPr>
        <w:t>严控项目资金申请及审批程序</w:t>
      </w:r>
      <w:r>
        <w:rPr>
          <w:rFonts w:hint="eastAsia" w:eastAsia="仿宋"/>
          <w:sz w:val="32"/>
          <w:szCs w:val="32"/>
          <w:lang w:eastAsia="zh-CN"/>
        </w:rPr>
        <w:t>。</w:t>
      </w:r>
    </w:p>
    <w:p>
      <w:pPr>
        <w:widowControl/>
        <w:spacing w:line="560" w:lineRule="exact"/>
        <w:ind w:firstLine="640" w:firstLineChars="200"/>
        <w:rPr>
          <w:rFonts w:hint="default" w:eastAsia="仿宋"/>
          <w:sz w:val="32"/>
          <w:szCs w:val="32"/>
          <w:lang w:val="en-US" w:eastAsia="zh-CN"/>
        </w:rPr>
      </w:pPr>
      <w:r>
        <w:rPr>
          <w:rFonts w:eastAsia="仿宋"/>
          <w:sz w:val="32"/>
          <w:szCs w:val="32"/>
        </w:rPr>
        <w:t>（2）</w:t>
      </w:r>
      <w:r>
        <w:rPr>
          <w:rFonts w:hint="eastAsia" w:eastAsia="仿宋"/>
          <w:sz w:val="32"/>
          <w:szCs w:val="32"/>
          <w:lang w:val="en-US" w:eastAsia="zh-CN"/>
        </w:rPr>
        <w:t>开展</w:t>
      </w:r>
      <w:r>
        <w:rPr>
          <w:rFonts w:hint="eastAsia" w:eastAsia="仿宋"/>
          <w:sz w:val="32"/>
          <w:szCs w:val="32"/>
        </w:rPr>
        <w:t>常态化开展住房租赁市场整治工作。一是加强日常监管，发现租赁企业未办理合同备案问题及时处理，规范租赁企业行为；二是建立市场监督管理部门、街道、社区联动，预防和减少违法违规及租赁纠纷行为的发生</w:t>
      </w:r>
      <w:r>
        <w:rPr>
          <w:rFonts w:hint="eastAsia" w:eastAsia="仿宋"/>
          <w:sz w:val="32"/>
          <w:szCs w:val="32"/>
          <w:lang w:eastAsia="zh-CN"/>
        </w:rPr>
        <w:t>，</w:t>
      </w:r>
      <w:r>
        <w:rPr>
          <w:rFonts w:hint="eastAsia" w:ascii="仿宋" w:hAnsi="仿宋" w:eastAsia="仿宋" w:cs="仿宋"/>
          <w:bCs/>
          <w:sz w:val="32"/>
          <w:szCs w:val="32"/>
          <w:lang w:val="en-US" w:eastAsia="zh-CN"/>
        </w:rPr>
        <w:t>积极落实</w:t>
      </w:r>
      <w:r>
        <w:rPr>
          <w:rFonts w:hint="eastAsia" w:ascii="华文仿宋" w:hAnsi="华文仿宋" w:eastAsia="华文仿宋" w:cs="华文仿宋"/>
          <w:color w:val="000000" w:themeColor="text1"/>
          <w:spacing w:val="-6"/>
          <w:kern w:val="0"/>
          <w:sz w:val="32"/>
          <w:szCs w:val="32"/>
          <w:highlight w:val="none"/>
          <w:lang w:val="en-US" w:eastAsia="zh-CN"/>
          <w14:textFill>
            <w14:solidFill>
              <w14:schemeClr w14:val="tx1"/>
            </w14:solidFill>
          </w14:textFill>
        </w:rPr>
        <w:t>租赁住房网格化管理工作实施方案。</w:t>
      </w:r>
    </w:p>
    <w:p>
      <w:pPr>
        <w:widowControl/>
        <w:spacing w:line="560" w:lineRule="exact"/>
        <w:ind w:firstLine="640" w:firstLineChars="200"/>
        <w:rPr>
          <w:rFonts w:hint="default" w:eastAsia="仿宋"/>
          <w:sz w:val="32"/>
          <w:szCs w:val="32"/>
          <w:lang w:val="en-US" w:eastAsia="zh-CN"/>
        </w:rPr>
      </w:pPr>
    </w:p>
    <w:p>
      <w:pPr>
        <w:widowControl/>
        <w:spacing w:line="560" w:lineRule="exact"/>
        <w:ind w:firstLine="640" w:firstLineChars="200"/>
        <w:rPr>
          <w:rFonts w:eastAsia="楷体"/>
          <w:sz w:val="32"/>
          <w:szCs w:val="32"/>
        </w:rPr>
      </w:pPr>
      <w:r>
        <w:rPr>
          <w:rFonts w:eastAsia="楷体"/>
          <w:sz w:val="32"/>
          <w:szCs w:val="32"/>
        </w:rPr>
        <w:t>附件：</w:t>
      </w:r>
      <w:r>
        <w:rPr>
          <w:rFonts w:hint="eastAsia" w:eastAsia="楷体"/>
          <w:sz w:val="32"/>
          <w:szCs w:val="32"/>
          <w:lang w:eastAsia="zh-CN"/>
        </w:rPr>
        <w:t>2022年度第一批中央城镇保障性安居工程专项资金、2022年第二批中央城镇保障性安居工程专项资金、招商地产退回中央住房租赁市场发展资金、市财政局2022年中央财政城镇保障性安居工程补助资金项目</w:t>
      </w:r>
      <w:r>
        <w:rPr>
          <w:rFonts w:eastAsia="楷体"/>
          <w:sz w:val="32"/>
          <w:szCs w:val="32"/>
        </w:rPr>
        <w:t>自评表</w:t>
      </w:r>
    </w:p>
    <w:p>
      <w:pPr>
        <w:widowControl/>
        <w:spacing w:line="560" w:lineRule="exact"/>
        <w:ind w:firstLine="640" w:firstLineChars="200"/>
        <w:rPr>
          <w:rFonts w:eastAsia="楷体"/>
          <w:sz w:val="32"/>
          <w:szCs w:val="32"/>
        </w:rPr>
        <w:sectPr>
          <w:footerReference r:id="rId3" w:type="default"/>
          <w:pgSz w:w="11906" w:h="16838"/>
          <w:pgMar w:top="2098" w:right="1474" w:bottom="1984" w:left="1587" w:header="851" w:footer="992" w:gutter="0"/>
          <w:cols w:space="720" w:num="1"/>
          <w:docGrid w:type="lines" w:linePitch="312" w:charSpace="0"/>
        </w:sectPr>
      </w:pPr>
    </w:p>
    <w:p>
      <w:pPr>
        <w:pStyle w:val="2"/>
        <w:spacing w:after="0"/>
        <w:ind w:firstLine="643" w:firstLineChars="200"/>
        <w:rPr>
          <w:rFonts w:eastAsia="楷体"/>
          <w:b/>
          <w:bCs/>
        </w:rPr>
      </w:pPr>
      <w:r>
        <w:rPr>
          <w:rFonts w:hint="eastAsia" w:eastAsia="楷体"/>
          <w:b/>
          <w:bCs/>
          <w:color w:val="000000"/>
          <w:kern w:val="0"/>
          <w:sz w:val="32"/>
          <w:szCs w:val="32"/>
        </w:rPr>
        <w:t>附件：</w:t>
      </w:r>
    </w:p>
    <w:tbl>
      <w:tblPr>
        <w:tblStyle w:val="9"/>
        <w:tblW w:w="541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24"/>
        <w:gridCol w:w="947"/>
        <w:gridCol w:w="1326"/>
        <w:gridCol w:w="1779"/>
        <w:gridCol w:w="1624"/>
        <w:gridCol w:w="1501"/>
        <w:gridCol w:w="19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5000" w:type="pct"/>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2022年度第一批中央城镇保障性安居工程专项资金、2022年第二批中央城镇保障性安居工程专项资金、招商地产退回中央住房租赁市场发展资金、市财政局2022年中央财政城镇保障性安居工程补助资金项目自评表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3" w:hRule="atLeast"/>
        </w:trPr>
        <w:tc>
          <w:tcPr>
            <w:tcW w:w="5000" w:type="pct"/>
            <w:gridSpan w:val="7"/>
            <w:tcBorders>
              <w:top w:val="nil"/>
              <w:left w:val="nil"/>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单位名称：武汉经济技术开发区（汉南区）住房和城乡建设局                 填报日期：2023年4月20日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项目名称</w:t>
            </w:r>
          </w:p>
        </w:tc>
        <w:tc>
          <w:tcPr>
            <w:tcW w:w="41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2022年度第一批中央城镇保障性安居工程专项资金、2022年第二批中央城镇保障性安居工程专项资金、招商地产退回中央住房租赁市场发展资金、市财政局2022年中央财政城镇保障性安居工程补助资金项目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主管部门</w:t>
            </w:r>
          </w:p>
        </w:tc>
        <w:tc>
          <w:tcPr>
            <w:tcW w:w="15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武汉经济技术开发区（汉南区）住房和城乡建设局</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项目实施单位</w:t>
            </w:r>
          </w:p>
        </w:tc>
        <w:tc>
          <w:tcPr>
            <w:tcW w:w="1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武汉经济技术开发区（汉南区）住房和城乡建设局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项目类别</w:t>
            </w:r>
          </w:p>
        </w:tc>
        <w:tc>
          <w:tcPr>
            <w:tcW w:w="41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1.部门预算项目    □         2.财政专项资金   </w:t>
            </w:r>
            <w:r>
              <w:rPr>
                <w:rFonts w:ascii="Wingdings 2" w:hAnsi="Wingdings 2" w:eastAsia="Wingdings 2" w:cs="Wingdings 2"/>
                <w:b/>
                <w:bCs/>
                <w:i w:val="0"/>
                <w:iCs w:val="0"/>
                <w:color w:val="000000"/>
                <w:kern w:val="0"/>
                <w:sz w:val="20"/>
                <w:szCs w:val="20"/>
                <w:u w:val="none"/>
                <w:lang w:val="en-US" w:eastAsia="zh-CN" w:bidi="ar"/>
              </w:rPr>
              <w:t>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项目属性</w:t>
            </w:r>
          </w:p>
        </w:tc>
        <w:tc>
          <w:tcPr>
            <w:tcW w:w="41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1.持续性项目      □         2.新增性项目     </w:t>
            </w:r>
            <w:r>
              <w:rPr>
                <w:rFonts w:ascii="Wingdings 2" w:hAnsi="Wingdings 2" w:eastAsia="Wingdings 2" w:cs="Wingdings 2"/>
                <w:b/>
                <w:bCs/>
                <w:i w:val="0"/>
                <w:iCs w:val="0"/>
                <w:color w:val="000000"/>
                <w:kern w:val="0"/>
                <w:sz w:val="20"/>
                <w:szCs w:val="20"/>
                <w:u w:val="none"/>
                <w:lang w:val="en-US" w:eastAsia="zh-CN" w:bidi="ar"/>
              </w:rPr>
              <w:t>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项目类型</w:t>
            </w:r>
          </w:p>
        </w:tc>
        <w:tc>
          <w:tcPr>
            <w:tcW w:w="41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1.常年性项目      □         2.延续性项目     □          3.一次性项目    </w:t>
            </w:r>
            <w:r>
              <w:rPr>
                <w:rFonts w:ascii="Wingdings 2" w:hAnsi="Wingdings 2" w:eastAsia="Wingdings 2" w:cs="Wingdings 2"/>
                <w:b/>
                <w:bCs/>
                <w:i w:val="0"/>
                <w:iCs w:val="0"/>
                <w:color w:val="000000"/>
                <w:kern w:val="0"/>
                <w:sz w:val="20"/>
                <w:szCs w:val="20"/>
                <w:u w:val="none"/>
                <w:lang w:val="en-US" w:eastAsia="zh-CN" w:bidi="ar"/>
              </w:rPr>
              <w:t>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预算执行情况</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（万元）</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（20分）</w:t>
            </w:r>
          </w:p>
        </w:tc>
        <w:tc>
          <w:tcPr>
            <w:tcW w:w="6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年度财政资金总额</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预算数（A）</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执行数（B）</w:t>
            </w:r>
          </w:p>
        </w:tc>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执行率(B/A)</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得分</w:t>
            </w:r>
          </w:p>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(20分*执行率)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1,852.00 </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1,852.00 </w:t>
            </w:r>
          </w:p>
        </w:tc>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100.00%</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9"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年度绩效目标</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一级</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指标</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二级指标</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指标名称</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年初目标值（A）</w:t>
            </w:r>
          </w:p>
        </w:tc>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实际完成值（B）</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4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产出指标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（30分）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数量指标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（6分）</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新建、改建租赁住房、盘活存量房源数量</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4000套</w:t>
            </w:r>
          </w:p>
        </w:tc>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4156套</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数量指标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（6分）</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专业化规模化企业数量</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26</w:t>
            </w:r>
          </w:p>
        </w:tc>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26</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数量指标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（6分）</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城市棚户区改造</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数量</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3300套</w:t>
            </w:r>
          </w:p>
        </w:tc>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3300套</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时效指标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（6分）</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开工目标完成率</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w:t>
            </w:r>
          </w:p>
        </w:tc>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质量指标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（6分）</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项目专项资金合规使用</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合规</w:t>
            </w:r>
          </w:p>
        </w:tc>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部分合规</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483"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效益指标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（32分）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社会效益指标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（8分）</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租金价格涨幅是否控制在合理区间</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是</w:t>
            </w:r>
          </w:p>
        </w:tc>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是</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48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社会效益指标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（8分）</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租赁市场供需矛盾突出问题是否缓解</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是</w:t>
            </w:r>
          </w:p>
        </w:tc>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是</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48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可持续性指标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（8分）</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新增房源和住房租赁合同网签备案率</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w:t>
            </w:r>
          </w:p>
        </w:tc>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90%</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48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可持续性指标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（8分）</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奖补项目纳入租赁监管服务平台管理</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是</w:t>
            </w:r>
          </w:p>
        </w:tc>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是</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483"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服务对象满意度指</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（18分）</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服务对象满意度指标（9分）</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租住财政奖补项目承租人满意度指标</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≧80%</w:t>
            </w:r>
          </w:p>
        </w:tc>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48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服务对象满意度指标（9分）</w:t>
            </w:r>
          </w:p>
        </w:tc>
        <w:tc>
          <w:tcPr>
            <w:tcW w:w="9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城镇住房保障家庭满意度</w:t>
            </w:r>
          </w:p>
        </w:tc>
        <w:tc>
          <w:tcPr>
            <w:tcW w:w="8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≧80%</w:t>
            </w:r>
          </w:p>
        </w:tc>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w:t>
            </w:r>
          </w:p>
        </w:tc>
        <w:tc>
          <w:tcPr>
            <w:tcW w:w="9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总分</w:t>
            </w:r>
          </w:p>
        </w:tc>
        <w:tc>
          <w:tcPr>
            <w:tcW w:w="463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3" w:hRule="atLeast"/>
        </w:trPr>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偏差大或目标未完成原因分析</w:t>
            </w:r>
          </w:p>
        </w:tc>
        <w:tc>
          <w:tcPr>
            <w:tcW w:w="41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1.“项目专项资金合规使用”年初目标值未完成，主要因为武汉三本园区运营有限公司涉嫌骗取国家财补资金505万元；</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2.“新增房源和住房租赁合同网签备案率”年初目标值未完成，主要原因为租赁企业的部分违法违规经营行为无相关法律法规约束，租赁企业依规登记备案率较低。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改进措施及结果应用方案</w:t>
            </w:r>
          </w:p>
        </w:tc>
        <w:tc>
          <w:tcPr>
            <w:tcW w:w="414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1.积极落实《市财政局市住房保障和房屋管理局关于进一步规范完善武汉市住房租赁市场发展专项资金管理办法的通知》（武财综〔2021〕286号），严控项目资金申请及审批程序；</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常态化开展住房租赁市场整治工作。一是加强日常监管，发现租赁企业未办理合同备案问题及时处理，规范租赁企业行为；二是建立市场监督管理部门、街道、社区联动，预防和减少违法违规及租赁纠纷行为的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注：</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1.预算执行情况口径：预算数为调整后财政资金总额（包括上年结转余额），执行数为资金使用单位财政资金实际支出数。</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定量指标完成数汇总原则：绝对值直接累加计算，相对值按照资金额度加权平均计算。定量指标计分原则：正向指标（即目标值为＞X，得分=权重B/A）,反向指标（即目标值为≤X，得分=权重A/B）,得分不得突破权重总额。定量指标先汇总完成数，再计算得分。</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3.定性指标计分原则：达成预期指标、部分达成预期指标并具有一定效果、未达成预期指标且效果较差三档，分别按照该指标对应分值区间100-80（含80%）、80-50（50%）、50-0%合理确定分值。汇总时，以资金额度为权重，对分值进行加权平均计算。</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4.基于经济性和必要性等因素考虑，满意度指标暂可不作为必评指标。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5000" w:type="pct"/>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5000" w:type="pct"/>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0"/>
                <w:szCs w:val="20"/>
                <w:u w:val="none"/>
              </w:rPr>
            </w:pPr>
          </w:p>
        </w:tc>
      </w:tr>
    </w:tbl>
    <w:p>
      <w:pPr>
        <w:widowControl/>
        <w:spacing w:line="432" w:lineRule="atLeast"/>
        <w:jc w:val="center"/>
        <w:rPr>
          <w:rFonts w:eastAsia="黑体"/>
          <w:b/>
          <w:bCs/>
          <w:color w:val="000000"/>
          <w:kern w:val="0"/>
          <w:sz w:val="32"/>
          <w:szCs w:val="32"/>
        </w:rPr>
        <w:sectPr>
          <w:pgSz w:w="11906" w:h="16838"/>
          <w:pgMar w:top="2098" w:right="1474" w:bottom="1984" w:left="1587" w:header="851" w:footer="992" w:gutter="0"/>
          <w:cols w:space="720" w:num="1"/>
          <w:docGrid w:type="lines" w:linePitch="312" w:charSpace="0"/>
        </w:sectPr>
      </w:pPr>
    </w:p>
    <w:p>
      <w:pPr>
        <w:widowControl/>
        <w:spacing w:line="560" w:lineRule="exact"/>
        <w:ind w:firstLine="643" w:firstLineChars="200"/>
        <w:outlineLvl w:val="0"/>
        <w:rPr>
          <w:rFonts w:eastAsia="黑体"/>
          <w:b/>
          <w:bCs/>
          <w:color w:val="000000"/>
          <w:kern w:val="0"/>
          <w:sz w:val="32"/>
          <w:szCs w:val="32"/>
        </w:rPr>
      </w:pPr>
      <w:r>
        <w:rPr>
          <w:rFonts w:eastAsia="黑体"/>
          <w:b/>
          <w:bCs/>
          <w:color w:val="000000"/>
          <w:kern w:val="0"/>
          <w:sz w:val="32"/>
          <w:szCs w:val="32"/>
        </w:rPr>
        <w:t>二、佐证材料</w:t>
      </w:r>
    </w:p>
    <w:p>
      <w:pPr>
        <w:widowControl/>
        <w:spacing w:line="560" w:lineRule="exact"/>
        <w:ind w:firstLine="643" w:firstLineChars="200"/>
        <w:jc w:val="left"/>
        <w:outlineLvl w:val="1"/>
        <w:rPr>
          <w:rFonts w:eastAsia="宋体"/>
          <w:color w:val="000000"/>
          <w:kern w:val="0"/>
          <w:sz w:val="24"/>
        </w:rPr>
      </w:pPr>
      <w:r>
        <w:rPr>
          <w:rFonts w:eastAsia="楷体"/>
          <w:b/>
          <w:bCs/>
          <w:color w:val="000000"/>
          <w:kern w:val="0"/>
          <w:sz w:val="32"/>
          <w:szCs w:val="32"/>
        </w:rPr>
        <w:t>（一）基本情况</w:t>
      </w:r>
    </w:p>
    <w:p>
      <w:pPr>
        <w:widowControl/>
        <w:spacing w:line="560" w:lineRule="exact"/>
        <w:ind w:firstLine="643" w:firstLineChars="200"/>
        <w:outlineLvl w:val="2"/>
        <w:rPr>
          <w:rFonts w:eastAsia="仿宋"/>
          <w:b/>
          <w:sz w:val="32"/>
          <w:szCs w:val="32"/>
        </w:rPr>
      </w:pPr>
      <w:r>
        <w:rPr>
          <w:rFonts w:eastAsia="仿宋"/>
          <w:b/>
          <w:sz w:val="32"/>
          <w:szCs w:val="32"/>
        </w:rPr>
        <w:t>1.项目立项目的</w:t>
      </w:r>
    </w:p>
    <w:p>
      <w:pPr>
        <w:widowControl/>
        <w:spacing w:line="560" w:lineRule="exact"/>
        <w:ind w:firstLine="600" w:firstLineChars="200"/>
        <w:rPr>
          <w:rFonts w:hint="eastAsia" w:cs="Times New Roman"/>
          <w:color w:val="auto"/>
          <w:kern w:val="0"/>
          <w:szCs w:val="32"/>
          <w:lang w:val="en-US" w:eastAsia="zh-CN"/>
        </w:rPr>
      </w:pPr>
      <w:r>
        <w:rPr>
          <w:rFonts w:hint="eastAsia" w:cs="Times New Roman"/>
          <w:color w:val="auto"/>
          <w:kern w:val="0"/>
          <w:szCs w:val="32"/>
          <w:lang w:val="en-US" w:eastAsia="zh-CN"/>
        </w:rPr>
        <w:t>根据《住房和城乡建设部办公厅 财政部办公厅关于加快推进中央财政支持住房租赁市场发展试点工作的函》（建办房函〔2021〕49号）、《市财政局 市住房保障和房屋管理局关于进一步规范完善武汉市住房租赁市场发展专项资金管理办法的通知》（武财综〔2021〕286 号），2022年度第一批中央城镇保障性安居工程专项资金、2022年第二批中央城镇保障性安居工程专项资金、招商地产退回中央住房租赁市场发展资金主要用于“商改租、工改租”项目奖补。</w:t>
      </w:r>
    </w:p>
    <w:p>
      <w:pPr>
        <w:widowControl/>
        <w:spacing w:line="560" w:lineRule="exact"/>
        <w:ind w:firstLine="600" w:firstLineChars="200"/>
        <w:rPr>
          <w:rFonts w:eastAsia="仿宋"/>
          <w:b/>
          <w:sz w:val="32"/>
          <w:szCs w:val="32"/>
        </w:rPr>
      </w:pPr>
      <w:r>
        <w:rPr>
          <w:rFonts w:hint="eastAsia" w:cs="Times New Roman"/>
          <w:color w:val="auto"/>
          <w:kern w:val="0"/>
          <w:szCs w:val="32"/>
          <w:lang w:val="en-US" w:eastAsia="zh-CN"/>
        </w:rPr>
        <w:t>根据《中央财政城镇保障性安居工程补助资金管理办法》（财综【2022】37 号）和《省财政厅关于下达2022年中央财政城镇保障性安居工程补助资金的通知》（鄂财综发〔2022〕8号），市财政局2022年中央财政城镇保障性安居工程补助资金主要用于沌口片区六村综合改造项目补助。</w:t>
      </w:r>
    </w:p>
    <w:p>
      <w:pPr>
        <w:widowControl/>
        <w:spacing w:line="560" w:lineRule="exact"/>
        <w:ind w:firstLine="643" w:firstLineChars="200"/>
        <w:outlineLvl w:val="2"/>
        <w:rPr>
          <w:rFonts w:eastAsia="仿宋"/>
          <w:b/>
          <w:sz w:val="32"/>
          <w:szCs w:val="32"/>
        </w:rPr>
      </w:pPr>
      <w:r>
        <w:rPr>
          <w:rFonts w:eastAsia="仿宋"/>
          <w:b/>
          <w:sz w:val="32"/>
          <w:szCs w:val="32"/>
        </w:rPr>
        <w:t>2.年度绩效目标</w:t>
      </w:r>
    </w:p>
    <w:p>
      <w:pPr>
        <w:widowControl/>
        <w:spacing w:line="560" w:lineRule="exact"/>
        <w:ind w:firstLine="600" w:firstLineChars="200"/>
        <w:rPr>
          <w:rFonts w:hint="eastAsia" w:eastAsia="仿宋_GB2312"/>
          <w:sz w:val="32"/>
          <w:szCs w:val="32"/>
          <w:lang w:eastAsia="zh-CN"/>
        </w:rPr>
      </w:pPr>
      <w:r>
        <w:rPr>
          <w:rFonts w:hint="eastAsia" w:cs="Times New Roman"/>
          <w:color w:val="auto"/>
          <w:kern w:val="0"/>
          <w:szCs w:val="32"/>
          <w:lang w:val="en-US" w:eastAsia="zh-CN"/>
        </w:rPr>
        <w:t>根据《中央财政城镇保障性安居工程专项资金用于发展住房租赁市场资金绩效目标表》、《2022年中央财政城镇保障性安居工程补助资金用于城市棚户区改造绩效目标表》及实际开展工作，本项目2022年度总目标为：新建、改建租赁住房、盘活存量房源4000套、专业化规模化企业数量26个，</w:t>
      </w:r>
      <w:r>
        <w:rPr>
          <w:rFonts w:hint="eastAsia" w:cs="Times New Roman"/>
          <w:color w:val="auto"/>
          <w:kern w:val="0"/>
          <w:szCs w:val="32"/>
        </w:rPr>
        <w:t>城市棚户区改造数量3300套</w:t>
      </w:r>
      <w:r>
        <w:rPr>
          <w:rFonts w:hint="eastAsia" w:cs="Times New Roman"/>
          <w:color w:val="auto"/>
          <w:kern w:val="0"/>
          <w:szCs w:val="32"/>
          <w:lang w:eastAsia="zh-CN"/>
        </w:rPr>
        <w:t>，</w:t>
      </w:r>
      <w:r>
        <w:rPr>
          <w:rFonts w:hint="eastAsia" w:cs="Times New Roman"/>
          <w:color w:val="auto"/>
          <w:kern w:val="0"/>
          <w:szCs w:val="32"/>
        </w:rPr>
        <w:t>开工目标完成率100%</w:t>
      </w:r>
      <w:r>
        <w:rPr>
          <w:rFonts w:hint="eastAsia" w:cs="Times New Roman"/>
          <w:color w:val="auto"/>
          <w:kern w:val="0"/>
          <w:szCs w:val="32"/>
          <w:lang w:eastAsia="zh-CN"/>
        </w:rPr>
        <w:t>，</w:t>
      </w:r>
      <w:r>
        <w:rPr>
          <w:rFonts w:hint="eastAsia" w:cs="Times New Roman"/>
          <w:color w:val="auto"/>
          <w:kern w:val="0"/>
          <w:szCs w:val="32"/>
        </w:rPr>
        <w:t>项目专项资金合规使用</w:t>
      </w:r>
      <w:r>
        <w:rPr>
          <w:rFonts w:hint="eastAsia" w:cs="Times New Roman"/>
          <w:color w:val="auto"/>
          <w:kern w:val="0"/>
          <w:szCs w:val="32"/>
          <w:lang w:eastAsia="zh-CN"/>
        </w:rPr>
        <w:t>，</w:t>
      </w:r>
      <w:r>
        <w:rPr>
          <w:rFonts w:hint="eastAsia" w:cs="Times New Roman"/>
          <w:color w:val="auto"/>
          <w:kern w:val="0"/>
          <w:szCs w:val="32"/>
        </w:rPr>
        <w:t>租金价格涨幅控制在合理区间</w:t>
      </w:r>
      <w:r>
        <w:rPr>
          <w:rFonts w:hint="eastAsia" w:cs="Times New Roman"/>
          <w:color w:val="auto"/>
          <w:kern w:val="0"/>
          <w:szCs w:val="32"/>
          <w:lang w:eastAsia="zh-CN"/>
        </w:rPr>
        <w:t>，</w:t>
      </w:r>
      <w:r>
        <w:rPr>
          <w:rFonts w:hint="eastAsia" w:cs="Times New Roman"/>
          <w:color w:val="auto"/>
          <w:kern w:val="0"/>
          <w:szCs w:val="32"/>
        </w:rPr>
        <w:t>租赁市场供需矛盾突出问题缓解</w:t>
      </w:r>
      <w:r>
        <w:rPr>
          <w:rFonts w:hint="eastAsia" w:cs="Times New Roman"/>
          <w:color w:val="auto"/>
          <w:kern w:val="0"/>
          <w:szCs w:val="32"/>
          <w:lang w:eastAsia="zh-CN"/>
        </w:rPr>
        <w:t>，</w:t>
      </w:r>
      <w:r>
        <w:rPr>
          <w:rFonts w:hint="eastAsia" w:cs="Times New Roman"/>
          <w:color w:val="auto"/>
          <w:kern w:val="0"/>
          <w:szCs w:val="32"/>
        </w:rPr>
        <w:t>新增房源和住房租赁合同网签备案率100%</w:t>
      </w:r>
      <w:r>
        <w:rPr>
          <w:rFonts w:hint="eastAsia" w:cs="Times New Roman"/>
          <w:color w:val="auto"/>
          <w:kern w:val="0"/>
          <w:szCs w:val="32"/>
          <w:lang w:eastAsia="zh-CN"/>
        </w:rPr>
        <w:t>，</w:t>
      </w:r>
      <w:r>
        <w:rPr>
          <w:rFonts w:hint="eastAsia" w:cs="Times New Roman"/>
          <w:color w:val="auto"/>
          <w:kern w:val="0"/>
          <w:szCs w:val="32"/>
        </w:rPr>
        <w:t>奖补项目纳入租赁监管服务平台管理</w:t>
      </w:r>
      <w:r>
        <w:rPr>
          <w:rFonts w:hint="eastAsia" w:cs="Times New Roman"/>
          <w:color w:val="auto"/>
          <w:kern w:val="0"/>
          <w:szCs w:val="32"/>
          <w:lang w:eastAsia="zh-CN"/>
        </w:rPr>
        <w:t>，</w:t>
      </w:r>
      <w:r>
        <w:rPr>
          <w:rFonts w:hint="eastAsia" w:cs="Times New Roman"/>
          <w:color w:val="auto"/>
          <w:kern w:val="0"/>
          <w:szCs w:val="32"/>
        </w:rPr>
        <w:t>租住财政奖补项目承租人满意度指标≧80%</w:t>
      </w:r>
      <w:r>
        <w:rPr>
          <w:rFonts w:hint="eastAsia" w:cs="Times New Roman"/>
          <w:color w:val="auto"/>
          <w:kern w:val="0"/>
          <w:szCs w:val="32"/>
          <w:lang w:eastAsia="zh-CN"/>
        </w:rPr>
        <w:t>，</w:t>
      </w:r>
      <w:r>
        <w:rPr>
          <w:rFonts w:hint="eastAsia" w:cs="Times New Roman"/>
          <w:color w:val="auto"/>
          <w:kern w:val="0"/>
          <w:szCs w:val="32"/>
        </w:rPr>
        <w:t>城镇住房保障家庭满意度≧80%</w:t>
      </w:r>
      <w:r>
        <w:rPr>
          <w:rFonts w:hint="eastAsia" w:cs="Times New Roman"/>
          <w:color w:val="auto"/>
          <w:kern w:val="0"/>
          <w:szCs w:val="32"/>
          <w:lang w:eastAsia="zh-CN"/>
        </w:rPr>
        <w:t>。</w:t>
      </w:r>
    </w:p>
    <w:p>
      <w:pPr>
        <w:widowControl/>
        <w:spacing w:line="560" w:lineRule="exact"/>
        <w:ind w:firstLine="643" w:firstLineChars="200"/>
        <w:outlineLvl w:val="2"/>
        <w:rPr>
          <w:rFonts w:eastAsia="仿宋"/>
          <w:b/>
          <w:sz w:val="32"/>
          <w:szCs w:val="32"/>
        </w:rPr>
      </w:pPr>
      <w:r>
        <w:rPr>
          <w:rFonts w:eastAsia="仿宋"/>
          <w:b/>
          <w:sz w:val="32"/>
          <w:szCs w:val="32"/>
        </w:rPr>
        <w:t>3.项目资金情况</w:t>
      </w:r>
    </w:p>
    <w:p>
      <w:pPr>
        <w:widowControl/>
        <w:spacing w:line="560" w:lineRule="exact"/>
        <w:ind w:firstLine="640" w:firstLineChars="200"/>
        <w:rPr>
          <w:rFonts w:eastAsia="仿宋"/>
          <w:sz w:val="32"/>
          <w:szCs w:val="32"/>
        </w:rPr>
      </w:pPr>
      <w:r>
        <w:rPr>
          <w:rFonts w:eastAsia="仿宋"/>
          <w:sz w:val="32"/>
          <w:szCs w:val="32"/>
        </w:rPr>
        <w:t>本项目</w:t>
      </w:r>
      <w:r>
        <w:rPr>
          <w:rFonts w:hint="eastAsia" w:eastAsia="仿宋"/>
          <w:sz w:val="32"/>
          <w:szCs w:val="32"/>
          <w:lang w:val="en-US" w:eastAsia="zh-CN"/>
        </w:rPr>
        <w:t>2022年下达专项资金1,852.00万元</w:t>
      </w:r>
      <w:r>
        <w:rPr>
          <w:rFonts w:hint="eastAsia" w:eastAsia="仿宋"/>
          <w:sz w:val="32"/>
          <w:szCs w:val="32"/>
        </w:rPr>
        <w:t>，</w:t>
      </w:r>
      <w:r>
        <w:rPr>
          <w:rFonts w:eastAsia="仿宋"/>
          <w:sz w:val="32"/>
          <w:szCs w:val="32"/>
        </w:rPr>
        <w:t>202</w:t>
      </w:r>
      <w:r>
        <w:rPr>
          <w:rFonts w:hint="eastAsia" w:eastAsia="仿宋"/>
          <w:sz w:val="32"/>
          <w:szCs w:val="32"/>
          <w:lang w:val="en-US" w:eastAsia="zh-CN"/>
        </w:rPr>
        <w:t>2</w:t>
      </w:r>
      <w:r>
        <w:rPr>
          <w:rFonts w:hint="eastAsia" w:eastAsia="仿宋"/>
          <w:sz w:val="32"/>
          <w:szCs w:val="32"/>
        </w:rPr>
        <w:t>年本项目预算资金共计1,852.00</w:t>
      </w:r>
      <w:r>
        <w:rPr>
          <w:rFonts w:eastAsia="仿宋"/>
          <w:sz w:val="32"/>
          <w:szCs w:val="32"/>
        </w:rPr>
        <w:t>万元。</w:t>
      </w:r>
    </w:p>
    <w:p>
      <w:pPr>
        <w:widowControl/>
        <w:spacing w:line="560" w:lineRule="exact"/>
        <w:ind w:firstLine="643" w:firstLineChars="200"/>
        <w:jc w:val="left"/>
        <w:outlineLvl w:val="1"/>
        <w:rPr>
          <w:rFonts w:eastAsia="宋体"/>
          <w:color w:val="000000"/>
          <w:kern w:val="0"/>
          <w:sz w:val="24"/>
        </w:rPr>
      </w:pPr>
      <w:r>
        <w:rPr>
          <w:rFonts w:eastAsia="楷体"/>
          <w:b/>
          <w:bCs/>
          <w:color w:val="000000"/>
          <w:kern w:val="0"/>
          <w:sz w:val="32"/>
          <w:szCs w:val="32"/>
        </w:rPr>
        <w:t>（二）部门自评工作开展情况</w:t>
      </w:r>
    </w:p>
    <w:p>
      <w:pPr>
        <w:widowControl/>
        <w:spacing w:line="560" w:lineRule="exact"/>
        <w:ind w:firstLine="600" w:firstLineChars="200"/>
      </w:pPr>
      <w:r>
        <w:t>本次自评时间从202</w:t>
      </w:r>
      <w:r>
        <w:rPr>
          <w:rFonts w:hint="eastAsia"/>
          <w:lang w:val="en-US" w:eastAsia="zh-CN"/>
        </w:rPr>
        <w:t>3</w:t>
      </w:r>
      <w:r>
        <w:t>年4月</w:t>
      </w:r>
      <w:r>
        <w:rPr>
          <w:rFonts w:hint="eastAsia"/>
          <w:lang w:val="en-US" w:eastAsia="zh-CN"/>
        </w:rPr>
        <w:t>1</w:t>
      </w:r>
      <w:r>
        <w:t>日至202</w:t>
      </w:r>
      <w:r>
        <w:rPr>
          <w:rFonts w:hint="eastAsia"/>
          <w:lang w:val="en-US" w:eastAsia="zh-CN"/>
        </w:rPr>
        <w:t>3</w:t>
      </w:r>
      <w:r>
        <w:t>年</w:t>
      </w:r>
      <w:r>
        <w:rPr>
          <w:rFonts w:hint="eastAsia"/>
          <w:lang w:val="en-US" w:eastAsia="zh-CN"/>
        </w:rPr>
        <w:t>4</w:t>
      </w:r>
      <w:r>
        <w:t>月</w:t>
      </w:r>
      <w:r>
        <w:rPr>
          <w:rFonts w:hint="eastAsia"/>
          <w:lang w:val="en-US" w:eastAsia="zh-CN"/>
        </w:rPr>
        <w:t>20</w:t>
      </w:r>
      <w:r>
        <w:t>日，历时2</w:t>
      </w:r>
      <w:r>
        <w:rPr>
          <w:rFonts w:hint="eastAsia"/>
          <w:lang w:val="en-US" w:eastAsia="zh-CN"/>
        </w:rPr>
        <w:t>0</w:t>
      </w:r>
      <w:r>
        <w:t>天。自评工作程序如下：</w:t>
      </w:r>
    </w:p>
    <w:p>
      <w:pPr>
        <w:widowControl/>
        <w:spacing w:line="560" w:lineRule="exact"/>
        <w:ind w:firstLine="640" w:firstLineChars="200"/>
        <w:rPr>
          <w:rFonts w:eastAsia="仿宋"/>
          <w:sz w:val="32"/>
          <w:szCs w:val="32"/>
        </w:rPr>
      </w:pPr>
      <w:r>
        <w:rPr>
          <w:rFonts w:eastAsia="仿宋"/>
          <w:sz w:val="32"/>
          <w:szCs w:val="32"/>
        </w:rPr>
        <w:t>（1）制定工作方案</w:t>
      </w:r>
    </w:p>
    <w:p>
      <w:pPr>
        <w:widowControl/>
        <w:spacing w:line="560" w:lineRule="exact"/>
        <w:ind w:firstLine="640" w:firstLineChars="200"/>
        <w:rPr>
          <w:rFonts w:eastAsia="仿宋"/>
          <w:sz w:val="32"/>
          <w:szCs w:val="32"/>
        </w:rPr>
      </w:pPr>
      <w:r>
        <w:rPr>
          <w:rFonts w:eastAsia="仿宋"/>
          <w:sz w:val="32"/>
          <w:szCs w:val="32"/>
        </w:rPr>
        <w:t>部门自评工作方案由财务部门会同第三方机构共同研究制订。根据部门主要负责同志要求和武汉</w:t>
      </w:r>
      <w:r>
        <w:rPr>
          <w:rFonts w:hint="eastAsia" w:eastAsia="仿宋"/>
          <w:sz w:val="32"/>
          <w:szCs w:val="32"/>
        </w:rPr>
        <w:t>经济技术开发区（汉南区）财政局</w:t>
      </w:r>
      <w:r>
        <w:rPr>
          <w:rFonts w:eastAsia="仿宋"/>
          <w:sz w:val="32"/>
          <w:szCs w:val="32"/>
        </w:rPr>
        <w:t>发布的</w:t>
      </w:r>
      <w:bookmarkStart w:id="0" w:name="_Hlk102643360"/>
      <w:r>
        <w:rPr>
          <w:rFonts w:hint="eastAsia" w:eastAsia="仿宋"/>
          <w:sz w:val="32"/>
          <w:szCs w:val="32"/>
        </w:rPr>
        <w:t>《关于开展 2023年预算绩效评价及项目支出绩效运行监控的通知》（武经开〔202</w:t>
      </w:r>
      <w:r>
        <w:rPr>
          <w:rFonts w:hint="eastAsia" w:eastAsia="仿宋"/>
          <w:sz w:val="32"/>
          <w:szCs w:val="32"/>
          <w:lang w:val="en-US" w:eastAsia="zh-CN"/>
        </w:rPr>
        <w:t>3</w:t>
      </w:r>
      <w:r>
        <w:rPr>
          <w:rFonts w:hint="eastAsia" w:eastAsia="仿宋"/>
          <w:sz w:val="32"/>
          <w:szCs w:val="32"/>
        </w:rPr>
        <w:t>〕</w:t>
      </w:r>
      <w:r>
        <w:rPr>
          <w:rFonts w:hint="eastAsia" w:eastAsia="仿宋"/>
          <w:sz w:val="32"/>
          <w:szCs w:val="32"/>
          <w:lang w:val="en-US" w:eastAsia="zh-CN"/>
        </w:rPr>
        <w:t>10</w:t>
      </w:r>
      <w:r>
        <w:rPr>
          <w:rFonts w:hint="eastAsia" w:eastAsia="仿宋"/>
          <w:sz w:val="32"/>
          <w:szCs w:val="32"/>
        </w:rPr>
        <w:t>号）</w:t>
      </w:r>
      <w:bookmarkEnd w:id="0"/>
      <w:r>
        <w:rPr>
          <w:rFonts w:eastAsia="仿宋"/>
          <w:sz w:val="32"/>
          <w:szCs w:val="32"/>
        </w:rPr>
        <w:t>启动部门</w:t>
      </w:r>
      <w:r>
        <w:rPr>
          <w:rFonts w:hint="eastAsia" w:eastAsia="仿宋"/>
          <w:sz w:val="32"/>
          <w:szCs w:val="32"/>
        </w:rPr>
        <w:t>项目</w:t>
      </w:r>
      <w:r>
        <w:rPr>
          <w:rFonts w:eastAsia="仿宋"/>
          <w:sz w:val="32"/>
          <w:szCs w:val="32"/>
        </w:rPr>
        <w:t>自评工作。</w:t>
      </w:r>
    </w:p>
    <w:p>
      <w:pPr>
        <w:widowControl/>
        <w:spacing w:line="560" w:lineRule="exact"/>
        <w:ind w:firstLine="640" w:firstLineChars="200"/>
        <w:rPr>
          <w:rFonts w:eastAsia="仿宋"/>
          <w:sz w:val="32"/>
          <w:szCs w:val="32"/>
        </w:rPr>
      </w:pPr>
      <w:r>
        <w:rPr>
          <w:rFonts w:eastAsia="仿宋"/>
          <w:sz w:val="32"/>
          <w:szCs w:val="32"/>
        </w:rPr>
        <w:t>（2）组织实施自评</w:t>
      </w:r>
    </w:p>
    <w:p>
      <w:pPr>
        <w:widowControl/>
        <w:spacing w:line="560" w:lineRule="exact"/>
        <w:ind w:firstLine="640" w:firstLineChars="200"/>
        <w:rPr>
          <w:rFonts w:eastAsia="仿宋"/>
          <w:sz w:val="32"/>
          <w:szCs w:val="32"/>
        </w:rPr>
      </w:pPr>
      <w:r>
        <w:rPr>
          <w:rFonts w:eastAsia="仿宋"/>
          <w:sz w:val="32"/>
          <w:szCs w:val="32"/>
        </w:rPr>
        <w:t>财务部门会同第三方机构及时成立工作组，通过调研访谈、</w:t>
      </w:r>
      <w:r>
        <w:rPr>
          <w:rFonts w:hint="eastAsia" w:eastAsia="仿宋"/>
          <w:sz w:val="32"/>
          <w:szCs w:val="32"/>
        </w:rPr>
        <w:t>电话访谈</w:t>
      </w:r>
      <w:r>
        <w:rPr>
          <w:rFonts w:eastAsia="仿宋"/>
          <w:sz w:val="32"/>
          <w:szCs w:val="32"/>
        </w:rPr>
        <w:t>等方式收集、核实数据和信息，并对这些数据和信息进行整理分析。</w:t>
      </w:r>
    </w:p>
    <w:p>
      <w:pPr>
        <w:widowControl/>
        <w:spacing w:line="560" w:lineRule="exact"/>
        <w:ind w:firstLine="640" w:firstLineChars="200"/>
        <w:rPr>
          <w:rFonts w:eastAsia="仿宋"/>
          <w:sz w:val="32"/>
          <w:szCs w:val="32"/>
        </w:rPr>
      </w:pPr>
      <w:r>
        <w:rPr>
          <w:rFonts w:eastAsia="仿宋"/>
          <w:sz w:val="32"/>
          <w:szCs w:val="32"/>
        </w:rPr>
        <w:t>（3）撰写部门自评</w:t>
      </w:r>
      <w:r>
        <w:rPr>
          <w:rFonts w:hint="eastAsia" w:eastAsia="仿宋"/>
          <w:sz w:val="32"/>
          <w:szCs w:val="32"/>
        </w:rPr>
        <w:t>项目</w:t>
      </w:r>
      <w:r>
        <w:rPr>
          <w:rFonts w:eastAsia="仿宋"/>
          <w:sz w:val="32"/>
          <w:szCs w:val="32"/>
        </w:rPr>
        <w:t>结果</w:t>
      </w:r>
    </w:p>
    <w:p>
      <w:pPr>
        <w:widowControl/>
        <w:spacing w:line="560" w:lineRule="exact"/>
        <w:ind w:firstLine="640" w:firstLineChars="200"/>
        <w:rPr>
          <w:rFonts w:eastAsia="仿宋"/>
          <w:sz w:val="32"/>
          <w:szCs w:val="32"/>
        </w:rPr>
      </w:pPr>
      <w:r>
        <w:rPr>
          <w:rFonts w:eastAsia="仿宋"/>
          <w:sz w:val="32"/>
          <w:szCs w:val="32"/>
        </w:rPr>
        <w:t>在整理分析基础上，形成部门</w:t>
      </w:r>
      <w:r>
        <w:rPr>
          <w:rFonts w:hint="eastAsia" w:eastAsia="仿宋"/>
          <w:sz w:val="32"/>
          <w:szCs w:val="32"/>
        </w:rPr>
        <w:t>项目</w:t>
      </w:r>
      <w:r>
        <w:rPr>
          <w:rFonts w:eastAsia="仿宋"/>
          <w:sz w:val="32"/>
          <w:szCs w:val="32"/>
        </w:rPr>
        <w:t>自评结果。</w:t>
      </w:r>
    </w:p>
    <w:p>
      <w:pPr>
        <w:widowControl/>
        <w:spacing w:line="560" w:lineRule="exact"/>
        <w:ind w:firstLine="640" w:firstLineChars="200"/>
        <w:rPr>
          <w:rFonts w:eastAsia="仿宋"/>
          <w:sz w:val="32"/>
          <w:szCs w:val="32"/>
        </w:rPr>
      </w:pPr>
      <w:r>
        <w:rPr>
          <w:rFonts w:eastAsia="仿宋"/>
          <w:sz w:val="32"/>
          <w:szCs w:val="32"/>
        </w:rPr>
        <w:t>（4）建立部门自评档案</w:t>
      </w:r>
    </w:p>
    <w:p>
      <w:pPr>
        <w:widowControl/>
        <w:spacing w:line="560" w:lineRule="exact"/>
        <w:ind w:firstLine="640" w:firstLineChars="200"/>
        <w:rPr>
          <w:rFonts w:eastAsia="仿宋"/>
          <w:sz w:val="32"/>
          <w:szCs w:val="32"/>
        </w:rPr>
      </w:pPr>
      <w:r>
        <w:rPr>
          <w:rFonts w:eastAsia="仿宋"/>
          <w:sz w:val="32"/>
          <w:szCs w:val="32"/>
        </w:rPr>
        <w:t>部门</w:t>
      </w:r>
      <w:r>
        <w:rPr>
          <w:rFonts w:hint="eastAsia" w:eastAsia="仿宋"/>
          <w:sz w:val="32"/>
          <w:szCs w:val="32"/>
        </w:rPr>
        <w:t>项目</w:t>
      </w:r>
      <w:r>
        <w:rPr>
          <w:rFonts w:eastAsia="仿宋"/>
          <w:sz w:val="32"/>
          <w:szCs w:val="32"/>
        </w:rPr>
        <w:t>自评结果按时报送财政部门备案并及时归档备查。</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（三）绩效目标完成情况分析</w:t>
      </w:r>
    </w:p>
    <w:p>
      <w:pPr>
        <w:widowControl/>
        <w:spacing w:line="560" w:lineRule="exact"/>
        <w:ind w:firstLine="643" w:firstLineChars="200"/>
        <w:outlineLvl w:val="2"/>
        <w:rPr>
          <w:rFonts w:eastAsia="仿宋"/>
          <w:b/>
          <w:sz w:val="32"/>
          <w:szCs w:val="32"/>
        </w:rPr>
      </w:pPr>
      <w:r>
        <w:rPr>
          <w:rFonts w:eastAsia="仿宋"/>
          <w:b/>
          <w:sz w:val="32"/>
          <w:szCs w:val="32"/>
        </w:rPr>
        <w:t>1.预算执行情况分析（满分20分，得分</w:t>
      </w:r>
      <w:r>
        <w:rPr>
          <w:rFonts w:hint="eastAsia" w:eastAsia="仿宋"/>
          <w:b/>
          <w:sz w:val="32"/>
          <w:szCs w:val="32"/>
          <w:lang w:val="en-US" w:eastAsia="zh-CN"/>
        </w:rPr>
        <w:t>20</w:t>
      </w:r>
      <w:r>
        <w:rPr>
          <w:rFonts w:eastAsia="仿宋"/>
          <w:b/>
          <w:sz w:val="32"/>
          <w:szCs w:val="32"/>
        </w:rPr>
        <w:t>分）</w:t>
      </w:r>
    </w:p>
    <w:p>
      <w:pPr>
        <w:widowControl/>
        <w:spacing w:line="560" w:lineRule="exact"/>
        <w:ind w:firstLine="640" w:firstLineChars="200"/>
        <w:rPr>
          <w:rFonts w:eastAsia="仿宋"/>
          <w:sz w:val="32"/>
          <w:szCs w:val="32"/>
        </w:rPr>
      </w:pPr>
      <w:r>
        <w:rPr>
          <w:rFonts w:eastAsia="仿宋"/>
          <w:sz w:val="32"/>
          <w:szCs w:val="32"/>
        </w:rPr>
        <w:t>本项目202</w:t>
      </w:r>
      <w:r>
        <w:rPr>
          <w:rFonts w:hint="eastAsia" w:eastAsia="仿宋"/>
          <w:sz w:val="32"/>
          <w:szCs w:val="32"/>
          <w:lang w:val="en-US" w:eastAsia="zh-CN"/>
        </w:rPr>
        <w:t>2</w:t>
      </w:r>
      <w:r>
        <w:rPr>
          <w:rFonts w:eastAsia="仿宋"/>
          <w:sz w:val="32"/>
          <w:szCs w:val="32"/>
        </w:rPr>
        <w:t>年实际到位资金</w:t>
      </w:r>
      <w:r>
        <w:rPr>
          <w:rFonts w:hint="eastAsia" w:eastAsia="仿宋"/>
          <w:sz w:val="32"/>
          <w:szCs w:val="32"/>
        </w:rPr>
        <w:t>1,852.00</w:t>
      </w:r>
      <w:r>
        <w:rPr>
          <w:rFonts w:eastAsia="仿宋"/>
          <w:sz w:val="32"/>
          <w:szCs w:val="32"/>
        </w:rPr>
        <w:t>万元，资金到位率100%。实际支出资金</w:t>
      </w:r>
      <w:r>
        <w:rPr>
          <w:rFonts w:hint="eastAsia" w:eastAsia="仿宋"/>
          <w:sz w:val="32"/>
          <w:szCs w:val="32"/>
        </w:rPr>
        <w:t>1,852.00</w:t>
      </w:r>
      <w:r>
        <w:rPr>
          <w:rFonts w:eastAsia="仿宋"/>
          <w:sz w:val="32"/>
          <w:szCs w:val="32"/>
        </w:rPr>
        <w:t>万元，预算执行率为</w:t>
      </w:r>
      <w:r>
        <w:rPr>
          <w:rFonts w:hint="eastAsia" w:eastAsia="仿宋"/>
          <w:sz w:val="32"/>
          <w:szCs w:val="32"/>
          <w:lang w:val="en-US" w:eastAsia="zh-CN"/>
        </w:rPr>
        <w:t>100</w:t>
      </w:r>
      <w:r>
        <w:rPr>
          <w:rFonts w:hint="eastAsia" w:eastAsia="仿宋"/>
          <w:sz w:val="32"/>
          <w:szCs w:val="32"/>
        </w:rPr>
        <w:t>%，预算执行率</w:t>
      </w:r>
      <w:r>
        <w:rPr>
          <w:rFonts w:hint="eastAsia" w:eastAsia="仿宋"/>
          <w:sz w:val="32"/>
          <w:szCs w:val="32"/>
          <w:lang w:val="en-US" w:eastAsia="zh-CN"/>
        </w:rPr>
        <w:t>较高</w:t>
      </w:r>
      <w:r>
        <w:rPr>
          <w:rFonts w:eastAsia="仿宋"/>
          <w:sz w:val="32"/>
          <w:szCs w:val="32"/>
        </w:rPr>
        <w:t>。</w:t>
      </w:r>
    </w:p>
    <w:p>
      <w:pPr>
        <w:widowControl/>
        <w:spacing w:line="560" w:lineRule="exact"/>
        <w:ind w:firstLine="643" w:firstLineChars="200"/>
        <w:outlineLvl w:val="2"/>
        <w:rPr>
          <w:rFonts w:eastAsia="仿宋"/>
          <w:b/>
          <w:sz w:val="32"/>
          <w:szCs w:val="32"/>
        </w:rPr>
      </w:pPr>
      <w:r>
        <w:rPr>
          <w:rFonts w:eastAsia="仿宋"/>
          <w:b/>
          <w:sz w:val="32"/>
          <w:szCs w:val="32"/>
        </w:rPr>
        <w:t>2.绩效目标完成情况分析（满分80分，得分</w:t>
      </w:r>
      <w:r>
        <w:rPr>
          <w:rFonts w:hint="eastAsia" w:eastAsia="仿宋"/>
          <w:b/>
          <w:sz w:val="32"/>
          <w:szCs w:val="32"/>
          <w:lang w:val="en-US" w:eastAsia="zh-CN"/>
        </w:rPr>
        <w:t>76</w:t>
      </w:r>
      <w:bookmarkStart w:id="1" w:name="_GoBack"/>
      <w:bookmarkEnd w:id="1"/>
      <w:r>
        <w:rPr>
          <w:rFonts w:eastAsia="仿宋"/>
          <w:b/>
          <w:sz w:val="32"/>
          <w:szCs w:val="32"/>
        </w:rPr>
        <w:t>分）</w:t>
      </w:r>
    </w:p>
    <w:p>
      <w:pPr>
        <w:widowControl/>
        <w:spacing w:line="560" w:lineRule="exact"/>
        <w:ind w:firstLine="640" w:firstLineChars="200"/>
        <w:rPr>
          <w:rFonts w:eastAsia="仿宋"/>
          <w:sz w:val="32"/>
          <w:szCs w:val="32"/>
        </w:rPr>
      </w:pPr>
      <w:r>
        <w:rPr>
          <w:rFonts w:eastAsia="仿宋"/>
          <w:sz w:val="32"/>
          <w:szCs w:val="32"/>
        </w:rPr>
        <w:t>（</w:t>
      </w:r>
      <w:r>
        <w:rPr>
          <w:rFonts w:hint="eastAsia" w:eastAsia="仿宋"/>
          <w:sz w:val="32"/>
          <w:szCs w:val="32"/>
        </w:rPr>
        <w:t>1</w:t>
      </w:r>
      <w:r>
        <w:rPr>
          <w:rFonts w:eastAsia="仿宋"/>
          <w:sz w:val="32"/>
          <w:szCs w:val="32"/>
        </w:rPr>
        <w:t>）产出指标完成情况分析（满分</w:t>
      </w:r>
      <w:r>
        <w:rPr>
          <w:rFonts w:hint="eastAsia" w:eastAsia="仿宋"/>
          <w:sz w:val="32"/>
          <w:szCs w:val="32"/>
          <w:lang w:val="en-US" w:eastAsia="zh-CN"/>
        </w:rPr>
        <w:t>30</w:t>
      </w:r>
      <w:r>
        <w:rPr>
          <w:rFonts w:eastAsia="仿宋"/>
          <w:sz w:val="32"/>
          <w:szCs w:val="32"/>
        </w:rPr>
        <w:t>分，得分</w:t>
      </w:r>
      <w:r>
        <w:rPr>
          <w:rFonts w:hint="eastAsia" w:eastAsia="仿宋"/>
          <w:sz w:val="32"/>
          <w:szCs w:val="32"/>
          <w:lang w:val="en-US" w:eastAsia="zh-CN"/>
        </w:rPr>
        <w:t>28</w:t>
      </w:r>
      <w:r>
        <w:rPr>
          <w:rFonts w:eastAsia="仿宋"/>
          <w:sz w:val="32"/>
          <w:szCs w:val="32"/>
        </w:rPr>
        <w:t>分）</w:t>
      </w:r>
    </w:p>
    <w:p>
      <w:pPr>
        <w:widowControl/>
        <w:spacing w:line="560" w:lineRule="exact"/>
        <w:ind w:firstLine="640" w:firstLineChars="200"/>
        <w:rPr>
          <w:rFonts w:hint="eastAsia" w:eastAsia="仿宋"/>
          <w:sz w:val="32"/>
          <w:szCs w:val="32"/>
          <w:lang w:eastAsia="zh-CN"/>
        </w:rPr>
      </w:pPr>
      <w:r>
        <w:rPr>
          <w:rFonts w:hint="eastAsia" w:eastAsia="仿宋"/>
          <w:sz w:val="32"/>
          <w:szCs w:val="32"/>
        </w:rPr>
        <w:t>①新建、改建租赁住房、盘活存量房源数量</w:t>
      </w:r>
      <w:r>
        <w:rPr>
          <w:rFonts w:hint="eastAsia" w:eastAsia="仿宋"/>
          <w:sz w:val="32"/>
          <w:szCs w:val="32"/>
          <w:lang w:eastAsia="zh-CN"/>
        </w:rPr>
        <w:t>：</w:t>
      </w:r>
      <w:r>
        <w:rPr>
          <w:rFonts w:hint="eastAsia" w:eastAsia="仿宋"/>
          <w:sz w:val="32"/>
          <w:szCs w:val="32"/>
        </w:rPr>
        <w:t>满分</w:t>
      </w:r>
      <w:r>
        <w:rPr>
          <w:rFonts w:hint="eastAsia" w:eastAsia="仿宋"/>
          <w:sz w:val="32"/>
          <w:szCs w:val="32"/>
          <w:lang w:val="en-US" w:eastAsia="zh-CN"/>
        </w:rPr>
        <w:t>6</w:t>
      </w:r>
      <w:r>
        <w:rPr>
          <w:rFonts w:hint="eastAsia" w:eastAsia="仿宋"/>
          <w:sz w:val="32"/>
          <w:szCs w:val="32"/>
        </w:rPr>
        <w:t>分，得分</w:t>
      </w:r>
      <w:r>
        <w:rPr>
          <w:rFonts w:hint="eastAsia" w:eastAsia="仿宋"/>
          <w:sz w:val="32"/>
          <w:szCs w:val="32"/>
          <w:lang w:val="en-US" w:eastAsia="zh-CN"/>
        </w:rPr>
        <w:t>6</w:t>
      </w:r>
      <w:r>
        <w:rPr>
          <w:rFonts w:hint="eastAsia" w:eastAsia="仿宋"/>
          <w:sz w:val="32"/>
          <w:szCs w:val="32"/>
        </w:rPr>
        <w:t>分</w:t>
      </w:r>
    </w:p>
    <w:p>
      <w:pPr>
        <w:widowControl/>
        <w:spacing w:line="560" w:lineRule="exact"/>
        <w:ind w:firstLine="640" w:firstLineChars="200"/>
        <w:rPr>
          <w:rFonts w:hint="eastAsia" w:eastAsia="仿宋"/>
          <w:sz w:val="32"/>
          <w:szCs w:val="32"/>
          <w:lang w:val="en-US" w:eastAsia="zh-CN"/>
        </w:rPr>
      </w:pPr>
      <w:r>
        <w:rPr>
          <w:rFonts w:hint="eastAsia" w:eastAsia="仿宋"/>
          <w:sz w:val="32"/>
          <w:szCs w:val="32"/>
        </w:rPr>
        <w:t>目标为新建、改建租赁住房、盘活存量房源</w:t>
      </w:r>
      <w:r>
        <w:rPr>
          <w:rFonts w:hint="eastAsia" w:eastAsia="仿宋"/>
          <w:sz w:val="32"/>
          <w:szCs w:val="32"/>
          <w:lang w:val="en-US" w:eastAsia="zh-CN"/>
        </w:rPr>
        <w:t>4000套。在2022</w:t>
      </w:r>
      <w:r>
        <w:rPr>
          <w:rFonts w:hint="eastAsia" w:eastAsia="仿宋"/>
          <w:sz w:val="32"/>
          <w:szCs w:val="32"/>
        </w:rPr>
        <w:t>深化住房保障体系</w:t>
      </w:r>
      <w:r>
        <w:rPr>
          <w:rFonts w:hint="eastAsia" w:eastAsia="仿宋"/>
          <w:sz w:val="32"/>
          <w:szCs w:val="32"/>
          <w:lang w:eastAsia="zh-CN"/>
        </w:rPr>
        <w:t>改革期间，</w:t>
      </w:r>
      <w:r>
        <w:rPr>
          <w:rFonts w:hint="eastAsia" w:eastAsia="仿宋"/>
          <w:sz w:val="32"/>
          <w:szCs w:val="32"/>
          <w:lang w:val="en-US" w:eastAsia="zh-CN"/>
        </w:rPr>
        <w:t>经开区筹集租赁住房房源4156套，完成市级筹集租赁住房目标任务104%，目标完成。</w:t>
      </w:r>
    </w:p>
    <w:p>
      <w:pPr>
        <w:widowControl/>
        <w:spacing w:line="560" w:lineRule="exact"/>
        <w:ind w:firstLine="640" w:firstLineChars="200"/>
        <w:rPr>
          <w:rFonts w:hint="eastAsia" w:eastAsia="仿宋"/>
          <w:sz w:val="32"/>
          <w:szCs w:val="32"/>
        </w:rPr>
      </w:pPr>
      <w:r>
        <w:rPr>
          <w:rFonts w:hint="eastAsia" w:eastAsia="仿宋"/>
          <w:sz w:val="32"/>
          <w:szCs w:val="32"/>
          <w:lang w:val="en-US" w:eastAsia="zh-CN"/>
        </w:rPr>
        <w:t>②专业化规模化企业数量</w:t>
      </w:r>
      <w:r>
        <w:rPr>
          <w:rFonts w:hint="eastAsia" w:eastAsia="仿宋"/>
          <w:sz w:val="32"/>
          <w:szCs w:val="32"/>
          <w:lang w:eastAsia="zh-CN"/>
        </w:rPr>
        <w:t>：</w:t>
      </w:r>
      <w:r>
        <w:rPr>
          <w:rFonts w:hint="eastAsia" w:eastAsia="仿宋"/>
          <w:sz w:val="32"/>
          <w:szCs w:val="32"/>
        </w:rPr>
        <w:t>满分</w:t>
      </w:r>
      <w:r>
        <w:rPr>
          <w:rFonts w:hint="eastAsia" w:eastAsia="仿宋"/>
          <w:sz w:val="32"/>
          <w:szCs w:val="32"/>
          <w:lang w:val="en-US" w:eastAsia="zh-CN"/>
        </w:rPr>
        <w:t>6</w:t>
      </w:r>
      <w:r>
        <w:rPr>
          <w:rFonts w:hint="eastAsia" w:eastAsia="仿宋"/>
          <w:sz w:val="32"/>
          <w:szCs w:val="32"/>
        </w:rPr>
        <w:t>分，得分</w:t>
      </w:r>
      <w:r>
        <w:rPr>
          <w:rFonts w:hint="eastAsia" w:eastAsia="仿宋"/>
          <w:sz w:val="32"/>
          <w:szCs w:val="32"/>
          <w:lang w:val="en-US" w:eastAsia="zh-CN"/>
        </w:rPr>
        <w:t>6</w:t>
      </w:r>
      <w:r>
        <w:rPr>
          <w:rFonts w:hint="eastAsia" w:eastAsia="仿宋"/>
          <w:sz w:val="32"/>
          <w:szCs w:val="32"/>
        </w:rPr>
        <w:t>分</w:t>
      </w:r>
    </w:p>
    <w:p>
      <w:pPr>
        <w:widowControl/>
        <w:spacing w:line="560" w:lineRule="exact"/>
        <w:ind w:firstLine="640" w:firstLineChars="200"/>
        <w:rPr>
          <w:rFonts w:hint="eastAsia" w:eastAsia="仿宋"/>
          <w:sz w:val="32"/>
          <w:szCs w:val="32"/>
          <w:lang w:val="en-US" w:eastAsia="zh-CN"/>
        </w:rPr>
      </w:pPr>
      <w:r>
        <w:rPr>
          <w:rFonts w:hint="eastAsia" w:eastAsia="仿宋"/>
          <w:sz w:val="32"/>
          <w:szCs w:val="32"/>
        </w:rPr>
        <w:t>目标为</w:t>
      </w:r>
      <w:r>
        <w:rPr>
          <w:rFonts w:hint="eastAsia" w:eastAsia="仿宋"/>
          <w:sz w:val="32"/>
          <w:szCs w:val="32"/>
          <w:lang w:val="en-US" w:eastAsia="zh-CN"/>
        </w:rPr>
        <w:t>专业化规模化企业26个。截至2022年，经开区从事住房租赁企业已备案26家，目标完成。</w:t>
      </w:r>
    </w:p>
    <w:p>
      <w:pPr>
        <w:widowControl/>
        <w:spacing w:line="560" w:lineRule="exact"/>
        <w:ind w:firstLine="640" w:firstLineChars="200"/>
        <w:rPr>
          <w:rFonts w:hint="default" w:eastAsia="仿宋"/>
          <w:sz w:val="32"/>
          <w:szCs w:val="32"/>
          <w:lang w:val="en-US" w:eastAsia="zh-CN"/>
        </w:rPr>
      </w:pPr>
      <w:r>
        <w:rPr>
          <w:rFonts w:hint="eastAsia" w:eastAsia="仿宋"/>
          <w:sz w:val="32"/>
          <w:szCs w:val="32"/>
          <w:lang w:val="en-US" w:eastAsia="zh-CN"/>
        </w:rPr>
        <w:t>③城市棚户区改造数量：满分6分，得分6分</w:t>
      </w:r>
    </w:p>
    <w:p>
      <w:pPr>
        <w:widowControl/>
        <w:spacing w:line="560" w:lineRule="exact"/>
        <w:ind w:firstLine="640" w:firstLineChars="200"/>
        <w:rPr>
          <w:rFonts w:hint="eastAsia" w:eastAsia="仿宋"/>
          <w:sz w:val="32"/>
          <w:szCs w:val="32"/>
          <w:lang w:val="en-US" w:eastAsia="zh-CN"/>
        </w:rPr>
      </w:pPr>
      <w:r>
        <w:rPr>
          <w:rFonts w:hint="eastAsia" w:eastAsia="仿宋"/>
          <w:sz w:val="32"/>
          <w:szCs w:val="32"/>
          <w:lang w:val="en-US" w:eastAsia="zh-CN"/>
        </w:rPr>
        <w:t>目标为城市棚户区改造</w:t>
      </w:r>
      <w:r>
        <w:rPr>
          <w:rFonts w:hint="default" w:eastAsia="仿宋"/>
          <w:sz w:val="32"/>
          <w:szCs w:val="32"/>
          <w:lang w:val="en-US" w:eastAsia="zh-CN"/>
        </w:rPr>
        <w:t>3300套</w:t>
      </w:r>
      <w:r>
        <w:rPr>
          <w:rFonts w:hint="eastAsia" w:eastAsia="仿宋"/>
          <w:sz w:val="32"/>
          <w:szCs w:val="32"/>
          <w:lang w:val="en-US" w:eastAsia="zh-CN"/>
        </w:rPr>
        <w:t>。</w:t>
      </w:r>
      <w:r>
        <w:rPr>
          <w:rFonts w:hint="default" w:eastAsia="仿宋"/>
          <w:sz w:val="32"/>
          <w:szCs w:val="32"/>
          <w:lang w:val="en-US" w:eastAsia="zh-CN"/>
        </w:rPr>
        <w:t>2022年</w:t>
      </w:r>
      <w:r>
        <w:rPr>
          <w:rFonts w:hint="eastAsia" w:eastAsia="仿宋"/>
          <w:sz w:val="32"/>
          <w:szCs w:val="32"/>
          <w:lang w:val="en-US" w:eastAsia="zh-CN"/>
        </w:rPr>
        <w:t>武汉车都集团有限公司已</w:t>
      </w:r>
      <w:r>
        <w:rPr>
          <w:rFonts w:hint="default" w:eastAsia="仿宋"/>
          <w:sz w:val="32"/>
          <w:szCs w:val="32"/>
          <w:lang w:val="en-US" w:eastAsia="zh-CN"/>
        </w:rPr>
        <w:t>完成沌口片区六村综合改造3300套目标任务项产出指标</w:t>
      </w:r>
      <w:r>
        <w:rPr>
          <w:rFonts w:hint="eastAsia" w:eastAsia="仿宋"/>
          <w:sz w:val="32"/>
          <w:szCs w:val="32"/>
          <w:lang w:val="en-US" w:eastAsia="zh-CN"/>
        </w:rPr>
        <w:t>，达到补助标准，目标完成。</w:t>
      </w:r>
    </w:p>
    <w:p>
      <w:pPr>
        <w:widowControl/>
        <w:spacing w:line="560" w:lineRule="exact"/>
        <w:ind w:firstLine="640" w:firstLineChars="200"/>
        <w:rPr>
          <w:rFonts w:hint="eastAsia" w:eastAsia="仿宋"/>
          <w:sz w:val="32"/>
          <w:szCs w:val="32"/>
          <w:lang w:val="en-US" w:eastAsia="zh-CN"/>
        </w:rPr>
      </w:pPr>
      <w:r>
        <w:rPr>
          <w:rFonts w:hint="eastAsia" w:eastAsia="仿宋"/>
          <w:sz w:val="32"/>
          <w:szCs w:val="32"/>
          <w:lang w:val="en-US" w:eastAsia="zh-CN"/>
        </w:rPr>
        <w:t>④</w:t>
      </w:r>
      <w:r>
        <w:rPr>
          <w:rFonts w:hint="default" w:eastAsia="仿宋"/>
          <w:sz w:val="32"/>
          <w:szCs w:val="32"/>
          <w:lang w:val="en-US" w:eastAsia="zh-CN"/>
        </w:rPr>
        <w:t>开工目标完成率</w:t>
      </w:r>
      <w:r>
        <w:rPr>
          <w:rFonts w:hint="eastAsia" w:eastAsia="仿宋"/>
          <w:sz w:val="32"/>
          <w:szCs w:val="32"/>
          <w:lang w:val="en-US" w:eastAsia="zh-CN"/>
        </w:rPr>
        <w:t>：满分6分，得分6分</w:t>
      </w:r>
    </w:p>
    <w:p>
      <w:pPr>
        <w:widowControl/>
        <w:spacing w:line="560" w:lineRule="exact"/>
        <w:ind w:firstLine="640" w:firstLineChars="200"/>
        <w:rPr>
          <w:rFonts w:hint="default" w:eastAsia="仿宋"/>
          <w:sz w:val="32"/>
          <w:szCs w:val="32"/>
          <w:lang w:val="en-US" w:eastAsia="zh-CN"/>
        </w:rPr>
      </w:pPr>
      <w:r>
        <w:rPr>
          <w:rFonts w:hint="eastAsia" w:eastAsia="仿宋"/>
          <w:sz w:val="32"/>
          <w:szCs w:val="32"/>
          <w:lang w:val="en-US" w:eastAsia="zh-CN"/>
        </w:rPr>
        <w:t>目标为</w:t>
      </w:r>
      <w:r>
        <w:rPr>
          <w:rFonts w:hint="default" w:eastAsia="仿宋"/>
          <w:sz w:val="32"/>
          <w:szCs w:val="32"/>
          <w:lang w:val="en-US" w:eastAsia="zh-CN"/>
        </w:rPr>
        <w:t>开工目标完成率</w:t>
      </w:r>
      <w:r>
        <w:rPr>
          <w:rFonts w:hint="eastAsia" w:eastAsia="仿宋"/>
          <w:sz w:val="32"/>
          <w:szCs w:val="32"/>
          <w:lang w:val="en-US" w:eastAsia="zh-CN"/>
        </w:rPr>
        <w:t>100%。2022年</w:t>
      </w:r>
      <w:r>
        <w:rPr>
          <w:rFonts w:hint="eastAsia" w:ascii="华文仿宋" w:hAnsi="华文仿宋" w:eastAsia="华文仿宋" w:cs="华文仿宋"/>
          <w:color w:val="000000" w:themeColor="text1"/>
          <w:spacing w:val="-6"/>
          <w:kern w:val="0"/>
          <w:sz w:val="32"/>
          <w:szCs w:val="32"/>
          <w:highlight w:val="none"/>
          <w:lang w:val="en-US" w:eastAsia="zh-CN"/>
          <w14:textFill>
            <w14:solidFill>
              <w14:schemeClr w14:val="tx1"/>
            </w14:solidFill>
          </w14:textFill>
        </w:rPr>
        <w:t>8个筹集长租租赁住房项目</w:t>
      </w:r>
      <w:r>
        <w:rPr>
          <w:rFonts w:hint="default" w:eastAsia="仿宋"/>
          <w:sz w:val="32"/>
          <w:szCs w:val="32"/>
          <w:lang w:val="en-US" w:eastAsia="zh-CN"/>
        </w:rPr>
        <w:t>开工率</w:t>
      </w:r>
      <w:r>
        <w:rPr>
          <w:rFonts w:hint="eastAsia" w:eastAsia="仿宋"/>
          <w:sz w:val="32"/>
          <w:szCs w:val="32"/>
          <w:lang w:val="en-US" w:eastAsia="zh-CN"/>
        </w:rPr>
        <w:t>100%。</w:t>
      </w:r>
    </w:p>
    <w:p>
      <w:pPr>
        <w:widowControl/>
        <w:spacing w:line="560" w:lineRule="exact"/>
        <w:ind w:firstLine="640" w:firstLineChars="200"/>
        <w:rPr>
          <w:rFonts w:hint="eastAsia" w:eastAsia="仿宋"/>
          <w:sz w:val="32"/>
          <w:szCs w:val="32"/>
          <w:lang w:val="en-US" w:eastAsia="zh-CN"/>
        </w:rPr>
      </w:pPr>
      <w:r>
        <w:rPr>
          <w:rFonts w:hint="eastAsia" w:eastAsia="仿宋"/>
          <w:sz w:val="32"/>
          <w:szCs w:val="32"/>
          <w:lang w:val="en-US" w:eastAsia="zh-CN"/>
        </w:rPr>
        <w:t>⑤</w:t>
      </w:r>
      <w:r>
        <w:rPr>
          <w:rFonts w:hint="default" w:eastAsia="仿宋"/>
          <w:sz w:val="32"/>
          <w:szCs w:val="32"/>
          <w:lang w:val="en-US" w:eastAsia="zh-CN"/>
        </w:rPr>
        <w:t>项目专项资金合规使用</w:t>
      </w:r>
      <w:r>
        <w:rPr>
          <w:rFonts w:hint="eastAsia" w:eastAsia="仿宋"/>
          <w:sz w:val="32"/>
          <w:szCs w:val="32"/>
          <w:lang w:val="en-US" w:eastAsia="zh-CN"/>
        </w:rPr>
        <w:t>：满分6分，得分4分</w:t>
      </w:r>
    </w:p>
    <w:p>
      <w:pPr>
        <w:widowControl/>
        <w:spacing w:line="560" w:lineRule="exact"/>
        <w:ind w:firstLine="640" w:firstLineChars="200"/>
        <w:rPr>
          <w:rFonts w:hint="default" w:eastAsia="仿宋"/>
          <w:sz w:val="32"/>
          <w:szCs w:val="32"/>
          <w:lang w:val="en-US" w:eastAsia="zh-CN"/>
        </w:rPr>
      </w:pPr>
      <w:r>
        <w:rPr>
          <w:rFonts w:hint="eastAsia" w:eastAsia="仿宋"/>
          <w:sz w:val="32"/>
          <w:szCs w:val="32"/>
          <w:lang w:val="en-US" w:eastAsia="zh-CN"/>
        </w:rPr>
        <w:t>目标为</w:t>
      </w:r>
      <w:r>
        <w:rPr>
          <w:rFonts w:hint="default" w:eastAsia="仿宋"/>
          <w:sz w:val="32"/>
          <w:szCs w:val="32"/>
          <w:lang w:val="en-US" w:eastAsia="zh-CN"/>
        </w:rPr>
        <w:t>项目专项资金合规使用</w:t>
      </w:r>
      <w:r>
        <w:rPr>
          <w:rFonts w:hint="eastAsia" w:eastAsia="仿宋"/>
          <w:sz w:val="32"/>
          <w:szCs w:val="32"/>
          <w:lang w:val="en-US" w:eastAsia="zh-CN"/>
        </w:rPr>
        <w:t>。</w:t>
      </w:r>
      <w:r>
        <w:rPr>
          <w:rFonts w:hint="eastAsia" w:eastAsia="仿宋"/>
          <w:sz w:val="32"/>
          <w:szCs w:val="32"/>
        </w:rPr>
        <w:t>武汉三本园区运营有限公司涉嫌骗取国家财补资金505万元</w:t>
      </w:r>
      <w:r>
        <w:rPr>
          <w:rFonts w:hint="eastAsia" w:eastAsia="仿宋"/>
          <w:sz w:val="32"/>
          <w:szCs w:val="32"/>
          <w:lang w:eastAsia="zh-CN"/>
        </w:rPr>
        <w:t>。</w:t>
      </w:r>
      <w:r>
        <w:rPr>
          <w:rFonts w:hint="eastAsia" w:eastAsia="仿宋"/>
          <w:sz w:val="32"/>
          <w:szCs w:val="32"/>
          <w:lang w:val="en-US" w:eastAsia="zh-CN"/>
        </w:rPr>
        <w:t>2022年11月24日，根据《</w:t>
      </w:r>
      <w:r>
        <w:rPr>
          <w:rFonts w:hint="eastAsia" w:eastAsia="仿宋"/>
          <w:sz w:val="32"/>
          <w:szCs w:val="32"/>
        </w:rPr>
        <w:t>武汉经济技术开发区住房和城乡建设局关于收回“三本公寓”项目住房租赁市场发展专项资金的督办函</w:t>
      </w:r>
      <w:r>
        <w:rPr>
          <w:rFonts w:hint="eastAsia" w:eastAsia="仿宋"/>
          <w:sz w:val="32"/>
          <w:szCs w:val="32"/>
          <w:lang w:val="en-US" w:eastAsia="zh-CN"/>
        </w:rPr>
        <w:t>》，</w:t>
      </w:r>
      <w:r>
        <w:rPr>
          <w:rFonts w:hint="eastAsia" w:eastAsia="仿宋"/>
          <w:sz w:val="32"/>
          <w:szCs w:val="32"/>
        </w:rPr>
        <w:t>武汉三本园区运营有限</w:t>
      </w:r>
      <w:r>
        <w:rPr>
          <w:rFonts w:hint="eastAsia" w:eastAsia="仿宋"/>
          <w:sz w:val="32"/>
          <w:szCs w:val="32"/>
          <w:lang w:val="en-US" w:eastAsia="zh-CN"/>
        </w:rPr>
        <w:t>公司已将上述资金及利息退回至武汉经济技术开发区住房和城乡建设局账户，项目目标未完成。</w:t>
      </w:r>
    </w:p>
    <w:p>
      <w:pPr>
        <w:widowControl/>
        <w:spacing w:line="560" w:lineRule="exact"/>
        <w:ind w:firstLine="640" w:firstLineChars="200"/>
        <w:rPr>
          <w:rFonts w:hint="eastAsia" w:eastAsia="仿宋"/>
          <w:sz w:val="32"/>
          <w:szCs w:val="32"/>
          <w:lang w:val="en-US" w:eastAsia="zh-CN"/>
        </w:rPr>
      </w:pPr>
      <w:r>
        <w:rPr>
          <w:rFonts w:hint="eastAsia" w:eastAsia="仿宋"/>
          <w:sz w:val="32"/>
          <w:szCs w:val="32"/>
          <w:lang w:val="en-US" w:eastAsia="zh-CN"/>
        </w:rPr>
        <w:t>（2）效益指标完成情况分析（满分32分，得分30分）</w:t>
      </w:r>
    </w:p>
    <w:p>
      <w:pPr>
        <w:widowControl/>
        <w:spacing w:line="560" w:lineRule="exact"/>
        <w:ind w:firstLine="640" w:firstLineChars="200"/>
        <w:rPr>
          <w:rFonts w:hint="eastAsia" w:eastAsia="仿宋"/>
          <w:sz w:val="32"/>
          <w:szCs w:val="32"/>
          <w:lang w:val="en-US" w:eastAsia="zh-CN"/>
        </w:rPr>
      </w:pPr>
      <w:r>
        <w:rPr>
          <w:rFonts w:hint="eastAsia" w:eastAsia="仿宋"/>
          <w:sz w:val="32"/>
          <w:szCs w:val="32"/>
          <w:lang w:val="en-US" w:eastAsia="zh-CN"/>
        </w:rPr>
        <w:t>①租金价格涨幅是否控制在合理区间：满分8分，得分8分</w:t>
      </w:r>
    </w:p>
    <w:p>
      <w:pPr>
        <w:widowControl/>
        <w:spacing w:line="560" w:lineRule="exact"/>
        <w:ind w:firstLine="640" w:firstLineChars="200"/>
        <w:rPr>
          <w:rFonts w:hint="default" w:eastAsia="仿宋"/>
          <w:sz w:val="32"/>
          <w:szCs w:val="32"/>
          <w:lang w:val="en-US" w:eastAsia="zh-CN"/>
        </w:rPr>
      </w:pPr>
      <w:r>
        <w:rPr>
          <w:rFonts w:hint="eastAsia" w:eastAsia="仿宋"/>
          <w:sz w:val="32"/>
          <w:szCs w:val="32"/>
          <w:lang w:val="en-US" w:eastAsia="zh-CN"/>
        </w:rPr>
        <w:t>目标为租金价格涨幅控制在合理区间。2022年通过巡查整治，不断规范租赁企业行为，防范住房租赁经营风险，保障房屋委托出租人和承租人的合法权益，将租金价格涨幅控制在合理区间，完成目标。</w:t>
      </w:r>
    </w:p>
    <w:p>
      <w:pPr>
        <w:widowControl/>
        <w:spacing w:line="560" w:lineRule="exact"/>
        <w:ind w:firstLine="640" w:firstLineChars="200"/>
        <w:rPr>
          <w:rFonts w:hint="eastAsia" w:eastAsia="仿宋"/>
          <w:sz w:val="32"/>
          <w:szCs w:val="32"/>
          <w:lang w:val="en-US" w:eastAsia="zh-CN"/>
        </w:rPr>
      </w:pPr>
      <w:r>
        <w:rPr>
          <w:rFonts w:hint="eastAsia" w:eastAsia="仿宋"/>
          <w:sz w:val="32"/>
          <w:szCs w:val="32"/>
          <w:lang w:val="en-US" w:eastAsia="zh-CN"/>
        </w:rPr>
        <w:t>②租赁市场供需矛盾突出问题是否缓解：满分8分，得分8分</w:t>
      </w:r>
    </w:p>
    <w:p>
      <w:pPr>
        <w:widowControl/>
        <w:spacing w:line="560" w:lineRule="exact"/>
        <w:ind w:firstLine="640" w:firstLineChars="200"/>
        <w:rPr>
          <w:rFonts w:hint="eastAsia" w:eastAsia="仿宋"/>
          <w:sz w:val="32"/>
          <w:szCs w:val="32"/>
          <w:lang w:val="en-US" w:eastAsia="zh-CN"/>
        </w:rPr>
      </w:pPr>
      <w:r>
        <w:rPr>
          <w:rFonts w:hint="eastAsia" w:eastAsia="仿宋"/>
          <w:sz w:val="32"/>
          <w:szCs w:val="32"/>
          <w:lang w:val="en-US" w:eastAsia="zh-CN"/>
        </w:rPr>
        <w:t>目标为租赁市场供需矛盾突出问题得到缓解。经开区通过多渠道筹集租赁住房房源、推进存量房“非改租”和长租公寓服务人才安居、推进住房租赁平台建设培育和发展住房租赁市场，构建了主体供给、多渠道保障、租购并举住房市场格局，租赁市场供需矛盾突出问题得到一定的缓解，完成目标。</w:t>
      </w:r>
    </w:p>
    <w:p>
      <w:pPr>
        <w:widowControl/>
        <w:spacing w:line="560" w:lineRule="exact"/>
        <w:ind w:firstLine="640" w:firstLineChars="200"/>
        <w:rPr>
          <w:rFonts w:hint="eastAsia" w:eastAsia="仿宋"/>
          <w:sz w:val="32"/>
          <w:szCs w:val="32"/>
          <w:lang w:val="en-US" w:eastAsia="zh-CN"/>
        </w:rPr>
      </w:pPr>
      <w:r>
        <w:rPr>
          <w:rFonts w:hint="eastAsia" w:eastAsia="仿宋"/>
          <w:sz w:val="32"/>
          <w:szCs w:val="32"/>
          <w:lang w:val="en-US" w:eastAsia="zh-CN"/>
        </w:rPr>
        <w:t>③新增房源和住房租赁合同网签备案率：满分8分，得分6分</w:t>
      </w:r>
    </w:p>
    <w:p>
      <w:pPr>
        <w:widowControl/>
        <w:spacing w:line="560" w:lineRule="exact"/>
        <w:ind w:firstLine="640" w:firstLineChars="200"/>
        <w:rPr>
          <w:rFonts w:hint="default" w:eastAsia="仿宋"/>
          <w:sz w:val="32"/>
          <w:szCs w:val="32"/>
          <w:lang w:val="en-US" w:eastAsia="zh-CN"/>
        </w:rPr>
      </w:pPr>
      <w:r>
        <w:rPr>
          <w:rFonts w:hint="eastAsia" w:eastAsia="仿宋"/>
          <w:sz w:val="32"/>
          <w:szCs w:val="32"/>
          <w:lang w:val="en-US" w:eastAsia="zh-CN"/>
        </w:rPr>
        <w:t>目标为新增房源和住房租赁合同网签备案率100%。目前新增房源和住房租赁合同网签备案率较低，主要原因为租赁企业的部分违法违规经营行为无相关法律法规约束，租赁企业依规登记备案率较低，存在问题的租赁企业一般不会主动到房管部门办理备案，只有等到租户发现问题投诉后，才能展开调查，项目目标未完成。</w:t>
      </w:r>
    </w:p>
    <w:p>
      <w:pPr>
        <w:widowControl/>
        <w:spacing w:line="560" w:lineRule="exact"/>
        <w:ind w:firstLine="640" w:firstLineChars="200"/>
        <w:rPr>
          <w:rFonts w:eastAsia="仿宋"/>
          <w:sz w:val="32"/>
          <w:szCs w:val="32"/>
        </w:rPr>
      </w:pPr>
      <w:r>
        <w:rPr>
          <w:rFonts w:eastAsia="仿宋"/>
          <w:sz w:val="32"/>
          <w:szCs w:val="32"/>
        </w:rPr>
        <w:t>（</w:t>
      </w:r>
      <w:r>
        <w:rPr>
          <w:rFonts w:hint="eastAsia" w:eastAsia="仿宋"/>
          <w:sz w:val="32"/>
          <w:szCs w:val="32"/>
          <w:lang w:val="en-US" w:eastAsia="zh-CN"/>
        </w:rPr>
        <w:t>3</w:t>
      </w:r>
      <w:r>
        <w:rPr>
          <w:rFonts w:eastAsia="仿宋"/>
          <w:sz w:val="32"/>
          <w:szCs w:val="32"/>
        </w:rPr>
        <w:t>）</w:t>
      </w:r>
      <w:r>
        <w:rPr>
          <w:rFonts w:hint="eastAsia" w:eastAsia="仿宋"/>
          <w:sz w:val="32"/>
          <w:szCs w:val="32"/>
          <w:lang w:val="en-US" w:eastAsia="zh-CN"/>
        </w:rPr>
        <w:t>满意度</w:t>
      </w:r>
      <w:r>
        <w:rPr>
          <w:rFonts w:eastAsia="仿宋"/>
          <w:sz w:val="32"/>
          <w:szCs w:val="32"/>
        </w:rPr>
        <w:t>指标完成情况分析（满分</w:t>
      </w:r>
      <w:r>
        <w:rPr>
          <w:rFonts w:hint="eastAsia" w:eastAsia="仿宋"/>
          <w:sz w:val="32"/>
          <w:szCs w:val="32"/>
          <w:lang w:val="en-US" w:eastAsia="zh-CN"/>
        </w:rPr>
        <w:t>18</w:t>
      </w:r>
      <w:r>
        <w:rPr>
          <w:rFonts w:eastAsia="仿宋"/>
          <w:sz w:val="32"/>
          <w:szCs w:val="32"/>
        </w:rPr>
        <w:t>分，得分</w:t>
      </w:r>
      <w:r>
        <w:rPr>
          <w:rFonts w:hint="eastAsia" w:eastAsia="仿宋"/>
          <w:sz w:val="32"/>
          <w:szCs w:val="32"/>
          <w:lang w:val="en-US" w:eastAsia="zh-CN"/>
        </w:rPr>
        <w:t>18</w:t>
      </w:r>
      <w:r>
        <w:rPr>
          <w:rFonts w:eastAsia="仿宋"/>
          <w:sz w:val="32"/>
          <w:szCs w:val="32"/>
        </w:rPr>
        <w:t>分）</w:t>
      </w:r>
    </w:p>
    <w:p>
      <w:pPr>
        <w:widowControl/>
        <w:spacing w:line="560" w:lineRule="exact"/>
        <w:ind w:firstLine="640" w:firstLineChars="200"/>
        <w:rPr>
          <w:rFonts w:hint="eastAsia" w:eastAsia="仿宋"/>
          <w:sz w:val="32"/>
          <w:szCs w:val="32"/>
          <w:lang w:val="en-US" w:eastAsia="zh-CN"/>
        </w:rPr>
      </w:pPr>
      <w:r>
        <w:rPr>
          <w:rFonts w:hint="eastAsia" w:eastAsia="仿宋"/>
          <w:sz w:val="32"/>
          <w:szCs w:val="32"/>
          <w:lang w:val="en-US" w:eastAsia="zh-CN"/>
        </w:rPr>
        <w:t>①租住财政奖补项目承租人满意度：满分9分，得分9分</w:t>
      </w:r>
    </w:p>
    <w:p>
      <w:pPr>
        <w:widowControl/>
        <w:spacing w:line="560" w:lineRule="exact"/>
        <w:ind w:firstLine="640" w:firstLineChars="200"/>
        <w:rPr>
          <w:rFonts w:hint="eastAsia" w:eastAsia="仿宋"/>
          <w:sz w:val="32"/>
          <w:szCs w:val="32"/>
          <w:lang w:val="en-US" w:eastAsia="zh-CN"/>
        </w:rPr>
      </w:pPr>
      <w:r>
        <w:rPr>
          <w:rFonts w:hint="eastAsia" w:eastAsia="仿宋"/>
          <w:sz w:val="32"/>
          <w:szCs w:val="32"/>
          <w:lang w:val="en-US" w:eastAsia="zh-CN"/>
        </w:rPr>
        <w:t>目标为租住财政奖补项目承租人满意度≧80%。2022年满意度调查均为好评，租住财政奖补项目承租人满意度100%，完成目标。</w:t>
      </w:r>
    </w:p>
    <w:p>
      <w:pPr>
        <w:widowControl/>
        <w:spacing w:line="560" w:lineRule="exact"/>
        <w:ind w:firstLine="640" w:firstLineChars="200"/>
        <w:rPr>
          <w:rFonts w:hint="eastAsia" w:eastAsia="仿宋"/>
          <w:sz w:val="32"/>
          <w:szCs w:val="32"/>
          <w:lang w:val="en-US" w:eastAsia="zh-CN"/>
        </w:rPr>
      </w:pPr>
      <w:r>
        <w:rPr>
          <w:rFonts w:hint="eastAsia" w:eastAsia="仿宋"/>
          <w:sz w:val="32"/>
          <w:szCs w:val="32"/>
          <w:lang w:val="en-US" w:eastAsia="zh-CN"/>
        </w:rPr>
        <w:t>②城镇住房保障家庭满意度：满分9分，得分9分</w:t>
      </w:r>
    </w:p>
    <w:p>
      <w:pPr>
        <w:widowControl/>
        <w:spacing w:line="560" w:lineRule="exact"/>
        <w:ind w:firstLine="640" w:firstLineChars="200"/>
        <w:rPr>
          <w:rFonts w:hint="eastAsia" w:eastAsia="仿宋"/>
          <w:sz w:val="32"/>
          <w:szCs w:val="32"/>
          <w:lang w:val="en-US" w:eastAsia="zh-CN"/>
        </w:rPr>
      </w:pPr>
      <w:r>
        <w:rPr>
          <w:rFonts w:hint="eastAsia" w:eastAsia="仿宋"/>
          <w:sz w:val="32"/>
          <w:szCs w:val="32"/>
          <w:lang w:val="en-US" w:eastAsia="zh-CN"/>
        </w:rPr>
        <w:t>目标为城镇住房保障家庭满意度≧80%。2022年满意度调查均为好评，城镇住房保障家庭满意度100%，完成目标。</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（四）上年度部门自评结果应用情况</w:t>
      </w:r>
    </w:p>
    <w:p>
      <w:pPr>
        <w:widowControl/>
        <w:spacing w:line="560" w:lineRule="exact"/>
        <w:ind w:firstLine="640" w:firstLineChars="200"/>
        <w:rPr>
          <w:rFonts w:eastAsia="仿宋"/>
          <w:sz w:val="32"/>
          <w:szCs w:val="32"/>
        </w:rPr>
      </w:pPr>
      <w:r>
        <w:rPr>
          <w:rFonts w:hint="eastAsia" w:eastAsia="仿宋"/>
          <w:sz w:val="32"/>
          <w:szCs w:val="32"/>
        </w:rPr>
        <w:t>本项目</w:t>
      </w:r>
      <w:r>
        <w:rPr>
          <w:rFonts w:hint="eastAsia" w:eastAsia="仿宋"/>
          <w:sz w:val="32"/>
          <w:szCs w:val="32"/>
          <w:lang w:val="en-US" w:eastAsia="zh-CN"/>
        </w:rPr>
        <w:t>为</w:t>
      </w:r>
      <w:r>
        <w:rPr>
          <w:rFonts w:hint="eastAsia" w:eastAsia="仿宋"/>
          <w:sz w:val="32"/>
          <w:szCs w:val="32"/>
        </w:rPr>
        <w:t>一次性项目，</w:t>
      </w:r>
      <w:r>
        <w:rPr>
          <w:rFonts w:hint="eastAsia" w:eastAsia="仿宋"/>
          <w:sz w:val="32"/>
          <w:szCs w:val="32"/>
          <w:lang w:val="en-US" w:eastAsia="zh-CN"/>
        </w:rPr>
        <w:t>无需要应用的</w:t>
      </w:r>
      <w:r>
        <w:rPr>
          <w:rFonts w:hint="eastAsia" w:eastAsia="仿宋"/>
          <w:sz w:val="32"/>
          <w:szCs w:val="32"/>
        </w:rPr>
        <w:t>上年度绩效自评结果。</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（五）其他佐证材料</w:t>
      </w:r>
    </w:p>
    <w:p>
      <w:pPr>
        <w:widowControl/>
        <w:spacing w:line="560" w:lineRule="exact"/>
        <w:ind w:firstLine="640" w:firstLineChars="200"/>
      </w:pPr>
      <w:r>
        <w:rPr>
          <w:rFonts w:eastAsia="仿宋"/>
          <w:sz w:val="32"/>
          <w:szCs w:val="32"/>
        </w:rPr>
        <w:t>无。</w:t>
      </w:r>
    </w:p>
    <w:p>
      <w:pPr>
        <w:widowControl/>
        <w:spacing w:line="500" w:lineRule="exact"/>
        <w:ind w:firstLine="480" w:firstLineChars="200"/>
        <w:rPr>
          <w:rFonts w:eastAsia="宋体"/>
          <w:color w:val="000000"/>
          <w:kern w:val="0"/>
          <w:sz w:val="24"/>
        </w:rPr>
      </w:pPr>
      <w:r>
        <w:rPr>
          <w:rFonts w:eastAsia="宋体"/>
          <w:color w:val="000000"/>
          <w:kern w:val="0"/>
          <w:sz w:val="24"/>
        </w:rPr>
        <w:t xml:space="preserve">    </w:t>
      </w:r>
      <w:r>
        <w:rPr>
          <w:rFonts w:hint="eastAsia" w:eastAsia="宋体"/>
          <w:color w:val="000000"/>
          <w:kern w:val="0"/>
          <w:sz w:val="24"/>
        </w:rPr>
        <w:t xml:space="preserve">    </w:t>
      </w:r>
      <w:r>
        <w:rPr>
          <w:rFonts w:eastAsia="宋体"/>
          <w:color w:val="000000"/>
          <w:kern w:val="0"/>
          <w:sz w:val="24"/>
        </w:rPr>
        <w:t xml:space="preserve"> </w:t>
      </w:r>
    </w:p>
    <w:p>
      <w:pPr>
        <w:widowControl/>
        <w:spacing w:line="500" w:lineRule="exact"/>
        <w:ind w:firstLine="640" w:firstLineChars="200"/>
        <w:jc w:val="right"/>
        <w:rPr>
          <w:rFonts w:hint="eastAsia" w:eastAsia="仿宋"/>
          <w:sz w:val="32"/>
          <w:szCs w:val="32"/>
          <w:lang w:eastAsia="zh-CN"/>
        </w:rPr>
      </w:pPr>
      <w:r>
        <w:rPr>
          <w:rFonts w:hint="eastAsia" w:eastAsia="仿宋"/>
          <w:sz w:val="32"/>
          <w:szCs w:val="32"/>
          <w:lang w:eastAsia="zh-CN"/>
        </w:rPr>
        <w:t>武汉经济技术开发区（汉南区）住房和城乡建设局</w:t>
      </w:r>
    </w:p>
    <w:p>
      <w:pPr>
        <w:widowControl/>
        <w:spacing w:line="500" w:lineRule="exact"/>
        <w:ind w:firstLine="640" w:firstLineChars="200"/>
        <w:rPr>
          <w:rFonts w:eastAsia="宋体"/>
          <w:color w:val="000000"/>
          <w:kern w:val="0"/>
          <w:sz w:val="24"/>
        </w:rPr>
      </w:pPr>
      <w:r>
        <w:rPr>
          <w:rFonts w:hint="eastAsia" w:eastAsia="仿宋"/>
          <w:sz w:val="32"/>
          <w:szCs w:val="32"/>
        </w:rPr>
        <w:t xml:space="preserve">                    </w:t>
      </w:r>
      <w:r>
        <w:rPr>
          <w:rFonts w:hint="eastAsia" w:eastAsia="宋体"/>
          <w:color w:val="000000"/>
          <w:kern w:val="0"/>
          <w:sz w:val="24"/>
        </w:rPr>
        <w:t xml:space="preserve">    </w:t>
      </w:r>
      <w:r>
        <w:rPr>
          <w:rFonts w:eastAsia="宋体"/>
          <w:color w:val="000000"/>
          <w:kern w:val="0"/>
          <w:sz w:val="24"/>
        </w:rPr>
        <w:t xml:space="preserve">            </w:t>
      </w:r>
      <w:r>
        <w:rPr>
          <w:rFonts w:hint="eastAsia" w:eastAsia="仿宋"/>
          <w:sz w:val="32"/>
          <w:szCs w:val="32"/>
        </w:rPr>
        <w:t xml:space="preserve"> </w:t>
      </w:r>
      <w:r>
        <w:rPr>
          <w:rFonts w:eastAsia="仿宋"/>
          <w:sz w:val="32"/>
          <w:szCs w:val="32"/>
        </w:rPr>
        <w:t xml:space="preserve"> 202</w:t>
      </w:r>
      <w:r>
        <w:rPr>
          <w:rFonts w:hint="eastAsia" w:eastAsia="仿宋"/>
          <w:sz w:val="32"/>
          <w:szCs w:val="32"/>
          <w:lang w:val="en-US" w:eastAsia="zh-CN"/>
        </w:rPr>
        <w:t>3</w:t>
      </w:r>
      <w:r>
        <w:rPr>
          <w:rFonts w:eastAsia="仿宋"/>
          <w:sz w:val="32"/>
          <w:szCs w:val="32"/>
        </w:rPr>
        <w:t>年</w:t>
      </w:r>
      <w:r>
        <w:rPr>
          <w:rFonts w:hint="eastAsia" w:eastAsia="仿宋"/>
          <w:sz w:val="32"/>
          <w:szCs w:val="32"/>
          <w:lang w:val="en-US" w:eastAsia="zh-CN"/>
        </w:rPr>
        <w:t>4</w:t>
      </w:r>
      <w:r>
        <w:rPr>
          <w:rFonts w:eastAsia="仿宋"/>
          <w:sz w:val="32"/>
          <w:szCs w:val="32"/>
        </w:rPr>
        <w:t>月</w:t>
      </w:r>
      <w:r>
        <w:rPr>
          <w:rFonts w:hint="eastAsia" w:eastAsia="仿宋"/>
          <w:sz w:val="32"/>
          <w:szCs w:val="32"/>
          <w:lang w:val="en-US" w:eastAsia="zh-CN"/>
        </w:rPr>
        <w:t>20</w:t>
      </w:r>
      <w:r>
        <w:rPr>
          <w:rFonts w:eastAsia="仿宋"/>
          <w:sz w:val="32"/>
          <w:szCs w:val="32"/>
        </w:rPr>
        <w:t>日</w:t>
      </w:r>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12</w:t>
    </w:r>
    <w:r>
      <w:rPr>
        <w:lang w:val="zh-CN"/>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50"/>
  <w:drawingGridVerticalSpacing w:val="5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ZmMDYwYzNjNzI5ODA4ZmI0NjA1NjA5YTYyZmQ3NTgifQ=="/>
  </w:docVars>
  <w:rsids>
    <w:rsidRoot w:val="00F57F82"/>
    <w:rsid w:val="000101E1"/>
    <w:rsid w:val="00020084"/>
    <w:rsid w:val="00057FFB"/>
    <w:rsid w:val="000732DA"/>
    <w:rsid w:val="00075CDC"/>
    <w:rsid w:val="000B1E8F"/>
    <w:rsid w:val="000E3FC3"/>
    <w:rsid w:val="000E5FBA"/>
    <w:rsid w:val="000F5302"/>
    <w:rsid w:val="00103574"/>
    <w:rsid w:val="00103D16"/>
    <w:rsid w:val="00115B6A"/>
    <w:rsid w:val="00121C7C"/>
    <w:rsid w:val="00164D84"/>
    <w:rsid w:val="001C5A40"/>
    <w:rsid w:val="001D628A"/>
    <w:rsid w:val="001E4260"/>
    <w:rsid w:val="00203D57"/>
    <w:rsid w:val="00250053"/>
    <w:rsid w:val="00287C3C"/>
    <w:rsid w:val="002C6A3B"/>
    <w:rsid w:val="002F629B"/>
    <w:rsid w:val="00332F8B"/>
    <w:rsid w:val="0035287C"/>
    <w:rsid w:val="003829C8"/>
    <w:rsid w:val="0039432D"/>
    <w:rsid w:val="003A26A2"/>
    <w:rsid w:val="003C6374"/>
    <w:rsid w:val="00414ED7"/>
    <w:rsid w:val="00415F7C"/>
    <w:rsid w:val="004220C5"/>
    <w:rsid w:val="004531B5"/>
    <w:rsid w:val="004C1EAA"/>
    <w:rsid w:val="00512544"/>
    <w:rsid w:val="005D07CE"/>
    <w:rsid w:val="005D3818"/>
    <w:rsid w:val="00664719"/>
    <w:rsid w:val="00696090"/>
    <w:rsid w:val="006A453E"/>
    <w:rsid w:val="006B653B"/>
    <w:rsid w:val="006C117B"/>
    <w:rsid w:val="007553C7"/>
    <w:rsid w:val="00785AF7"/>
    <w:rsid w:val="007A1DC2"/>
    <w:rsid w:val="007C119C"/>
    <w:rsid w:val="007D7B7E"/>
    <w:rsid w:val="008271A8"/>
    <w:rsid w:val="00883725"/>
    <w:rsid w:val="00895183"/>
    <w:rsid w:val="008A20F2"/>
    <w:rsid w:val="008B50FA"/>
    <w:rsid w:val="008F74D5"/>
    <w:rsid w:val="009D04D8"/>
    <w:rsid w:val="009F652F"/>
    <w:rsid w:val="00A32FDD"/>
    <w:rsid w:val="00A72CA8"/>
    <w:rsid w:val="00AA2B82"/>
    <w:rsid w:val="00AC315F"/>
    <w:rsid w:val="00BA14B8"/>
    <w:rsid w:val="00BA262C"/>
    <w:rsid w:val="00BA347B"/>
    <w:rsid w:val="00C95A35"/>
    <w:rsid w:val="00CC152C"/>
    <w:rsid w:val="00CD5DD9"/>
    <w:rsid w:val="00CF2199"/>
    <w:rsid w:val="00D63908"/>
    <w:rsid w:val="00DA29F4"/>
    <w:rsid w:val="00DD09A2"/>
    <w:rsid w:val="00DD16E3"/>
    <w:rsid w:val="00DE2F6A"/>
    <w:rsid w:val="00E005A8"/>
    <w:rsid w:val="00E02E05"/>
    <w:rsid w:val="00E54B40"/>
    <w:rsid w:val="00E74336"/>
    <w:rsid w:val="00EC2181"/>
    <w:rsid w:val="00EC34E0"/>
    <w:rsid w:val="00ED6D53"/>
    <w:rsid w:val="00EE6F1A"/>
    <w:rsid w:val="00F10473"/>
    <w:rsid w:val="00F437B4"/>
    <w:rsid w:val="00F57F82"/>
    <w:rsid w:val="00F75963"/>
    <w:rsid w:val="00F81D36"/>
    <w:rsid w:val="00FA357A"/>
    <w:rsid w:val="00FF2111"/>
    <w:rsid w:val="01745D0A"/>
    <w:rsid w:val="01FF3C7D"/>
    <w:rsid w:val="02C86339"/>
    <w:rsid w:val="03623055"/>
    <w:rsid w:val="037D0BC8"/>
    <w:rsid w:val="03CB0C86"/>
    <w:rsid w:val="04613167"/>
    <w:rsid w:val="04673CA2"/>
    <w:rsid w:val="050163A6"/>
    <w:rsid w:val="07E640F0"/>
    <w:rsid w:val="0845082D"/>
    <w:rsid w:val="094115EA"/>
    <w:rsid w:val="096A663E"/>
    <w:rsid w:val="09E965F2"/>
    <w:rsid w:val="0A130CF6"/>
    <w:rsid w:val="0A87714B"/>
    <w:rsid w:val="0AA2532E"/>
    <w:rsid w:val="0CBF575D"/>
    <w:rsid w:val="0D1923E6"/>
    <w:rsid w:val="0D660F6F"/>
    <w:rsid w:val="0ECA2EFA"/>
    <w:rsid w:val="0F9652C0"/>
    <w:rsid w:val="0FB370D5"/>
    <w:rsid w:val="0FD13D36"/>
    <w:rsid w:val="0FEA60B6"/>
    <w:rsid w:val="10426B40"/>
    <w:rsid w:val="10DB57E4"/>
    <w:rsid w:val="113118BF"/>
    <w:rsid w:val="11D7196B"/>
    <w:rsid w:val="130E2450"/>
    <w:rsid w:val="13141499"/>
    <w:rsid w:val="13511532"/>
    <w:rsid w:val="139840D3"/>
    <w:rsid w:val="143E091F"/>
    <w:rsid w:val="14865FC8"/>
    <w:rsid w:val="150C2DB0"/>
    <w:rsid w:val="154928C9"/>
    <w:rsid w:val="15DB39EC"/>
    <w:rsid w:val="17C34C75"/>
    <w:rsid w:val="17F906DA"/>
    <w:rsid w:val="1B515EE3"/>
    <w:rsid w:val="1BB80B76"/>
    <w:rsid w:val="1C125FA5"/>
    <w:rsid w:val="1C893E9E"/>
    <w:rsid w:val="1CE94882"/>
    <w:rsid w:val="1D436783"/>
    <w:rsid w:val="1DD7559C"/>
    <w:rsid w:val="1E3F631C"/>
    <w:rsid w:val="1E761F05"/>
    <w:rsid w:val="1EB85DB8"/>
    <w:rsid w:val="1F7F7BAF"/>
    <w:rsid w:val="1FC7205C"/>
    <w:rsid w:val="20522F58"/>
    <w:rsid w:val="211537CA"/>
    <w:rsid w:val="21167BF2"/>
    <w:rsid w:val="21632834"/>
    <w:rsid w:val="219D6ED7"/>
    <w:rsid w:val="21EB43A1"/>
    <w:rsid w:val="226263B1"/>
    <w:rsid w:val="228B3D05"/>
    <w:rsid w:val="24822003"/>
    <w:rsid w:val="24E4263B"/>
    <w:rsid w:val="27125C45"/>
    <w:rsid w:val="276E7926"/>
    <w:rsid w:val="27AB4F08"/>
    <w:rsid w:val="286D5E37"/>
    <w:rsid w:val="28981D0D"/>
    <w:rsid w:val="2AC72633"/>
    <w:rsid w:val="2BB703D7"/>
    <w:rsid w:val="2C11353F"/>
    <w:rsid w:val="2DD9710F"/>
    <w:rsid w:val="2DF34CC0"/>
    <w:rsid w:val="2ED95618"/>
    <w:rsid w:val="2F794830"/>
    <w:rsid w:val="3381719A"/>
    <w:rsid w:val="34AE5749"/>
    <w:rsid w:val="35EE40A0"/>
    <w:rsid w:val="36706CCC"/>
    <w:rsid w:val="36873BAC"/>
    <w:rsid w:val="37C877E9"/>
    <w:rsid w:val="37D73658"/>
    <w:rsid w:val="38EF7AD8"/>
    <w:rsid w:val="391179DE"/>
    <w:rsid w:val="391752D6"/>
    <w:rsid w:val="3ABA294C"/>
    <w:rsid w:val="3AC26D8D"/>
    <w:rsid w:val="3AD60F72"/>
    <w:rsid w:val="3BF177F6"/>
    <w:rsid w:val="3CA70864"/>
    <w:rsid w:val="3DD6679A"/>
    <w:rsid w:val="3DE04E95"/>
    <w:rsid w:val="3E1672E6"/>
    <w:rsid w:val="3E1F211D"/>
    <w:rsid w:val="3E5533F0"/>
    <w:rsid w:val="3EB77C2B"/>
    <w:rsid w:val="3EE947C1"/>
    <w:rsid w:val="40453787"/>
    <w:rsid w:val="415F08D8"/>
    <w:rsid w:val="433B52D2"/>
    <w:rsid w:val="434010BE"/>
    <w:rsid w:val="43512B3E"/>
    <w:rsid w:val="43E2616B"/>
    <w:rsid w:val="44020591"/>
    <w:rsid w:val="4404698F"/>
    <w:rsid w:val="44A95196"/>
    <w:rsid w:val="44D51F86"/>
    <w:rsid w:val="44DC6F9E"/>
    <w:rsid w:val="44E2230F"/>
    <w:rsid w:val="44FA5404"/>
    <w:rsid w:val="4549266A"/>
    <w:rsid w:val="45DD6BEA"/>
    <w:rsid w:val="461B3DFB"/>
    <w:rsid w:val="463449F1"/>
    <w:rsid w:val="46E206AE"/>
    <w:rsid w:val="46F9107C"/>
    <w:rsid w:val="47A12944"/>
    <w:rsid w:val="47EA26FB"/>
    <w:rsid w:val="48724017"/>
    <w:rsid w:val="488641E0"/>
    <w:rsid w:val="48A81481"/>
    <w:rsid w:val="48B51347"/>
    <w:rsid w:val="4A55216A"/>
    <w:rsid w:val="4AA8027E"/>
    <w:rsid w:val="4AAE000A"/>
    <w:rsid w:val="4D43140C"/>
    <w:rsid w:val="4D4F4973"/>
    <w:rsid w:val="4F7E7282"/>
    <w:rsid w:val="4FE0696A"/>
    <w:rsid w:val="50152EF0"/>
    <w:rsid w:val="505A5310"/>
    <w:rsid w:val="51FD19E1"/>
    <w:rsid w:val="52C0009F"/>
    <w:rsid w:val="537A2BFE"/>
    <w:rsid w:val="5408455A"/>
    <w:rsid w:val="54B70621"/>
    <w:rsid w:val="555808E9"/>
    <w:rsid w:val="55673508"/>
    <w:rsid w:val="55D05801"/>
    <w:rsid w:val="56725657"/>
    <w:rsid w:val="568F468B"/>
    <w:rsid w:val="572B5492"/>
    <w:rsid w:val="58195F6E"/>
    <w:rsid w:val="58587667"/>
    <w:rsid w:val="59595A6F"/>
    <w:rsid w:val="599330CA"/>
    <w:rsid w:val="5A3A2B60"/>
    <w:rsid w:val="5A4C3EF6"/>
    <w:rsid w:val="5B0D23FC"/>
    <w:rsid w:val="5BB856CC"/>
    <w:rsid w:val="5D444098"/>
    <w:rsid w:val="5DB076C2"/>
    <w:rsid w:val="5E367F56"/>
    <w:rsid w:val="5EE51B13"/>
    <w:rsid w:val="5F4015DE"/>
    <w:rsid w:val="608D4B02"/>
    <w:rsid w:val="60D5009F"/>
    <w:rsid w:val="63DF1591"/>
    <w:rsid w:val="65D630D8"/>
    <w:rsid w:val="660721C9"/>
    <w:rsid w:val="661E6C75"/>
    <w:rsid w:val="66231D0E"/>
    <w:rsid w:val="67F75FF5"/>
    <w:rsid w:val="681D4831"/>
    <w:rsid w:val="692E4B19"/>
    <w:rsid w:val="69513EF7"/>
    <w:rsid w:val="69BE2A6F"/>
    <w:rsid w:val="69EC374B"/>
    <w:rsid w:val="6BF3256F"/>
    <w:rsid w:val="6CE7018A"/>
    <w:rsid w:val="6DC47D48"/>
    <w:rsid w:val="6E3E3F2D"/>
    <w:rsid w:val="715B2F02"/>
    <w:rsid w:val="7281713A"/>
    <w:rsid w:val="7400407A"/>
    <w:rsid w:val="74292DBE"/>
    <w:rsid w:val="76436B85"/>
    <w:rsid w:val="76834D9A"/>
    <w:rsid w:val="76A548F2"/>
    <w:rsid w:val="7765772E"/>
    <w:rsid w:val="77867685"/>
    <w:rsid w:val="77F04540"/>
    <w:rsid w:val="781F36B6"/>
    <w:rsid w:val="790627AD"/>
    <w:rsid w:val="7A5069D3"/>
    <w:rsid w:val="7A70083D"/>
    <w:rsid w:val="7AB0025D"/>
    <w:rsid w:val="7ADC59FA"/>
    <w:rsid w:val="7BB3305E"/>
    <w:rsid w:val="7BDC27DF"/>
    <w:rsid w:val="7C0D7572"/>
    <w:rsid w:val="7D156A68"/>
    <w:rsid w:val="7D480840"/>
    <w:rsid w:val="7DDD794F"/>
    <w:rsid w:val="7E316F0A"/>
    <w:rsid w:val="7ED54CA7"/>
    <w:rsid w:val="7F323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5"/>
    <w:basedOn w:val="1"/>
    <w:next w:val="1"/>
    <w:qFormat/>
    <w:uiPriority w:val="0"/>
    <w:pPr>
      <w:keepNext/>
      <w:outlineLvl w:val="4"/>
    </w:pPr>
    <w:rPr>
      <w:rFonts w:ascii="宋体" w:hAnsi="宋体" w:cs="宋体"/>
      <w:b/>
      <w:bCs/>
      <w:sz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4">
    <w:name w:val="Balloon Text"/>
    <w:basedOn w:val="1"/>
    <w:link w:val="14"/>
    <w:qFormat/>
    <w:uiPriority w:val="0"/>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Title"/>
    <w:basedOn w:val="1"/>
    <w:next w:val="1"/>
    <w:qFormat/>
    <w:uiPriority w:val="10"/>
    <w:pPr>
      <w:spacing w:line="360" w:lineRule="auto"/>
      <w:ind w:firstLine="200" w:firstLineChars="200"/>
      <w:jc w:val="left"/>
      <w:outlineLvl w:val="3"/>
    </w:pPr>
    <w:rPr>
      <w:rFonts w:ascii="Cambria" w:hAnsi="Cambria"/>
      <w:bCs/>
      <w:sz w:val="24"/>
      <w:szCs w:val="32"/>
    </w:rPr>
  </w:style>
  <w:style w:type="character" w:styleId="11">
    <w:name w:val="page number"/>
    <w:basedOn w:val="10"/>
    <w:qFormat/>
    <w:uiPriority w:val="0"/>
  </w:style>
  <w:style w:type="character" w:customStyle="1" w:styleId="12">
    <w:name w:val="页脚 字符"/>
    <w:basedOn w:val="10"/>
    <w:link w:val="5"/>
    <w:qFormat/>
    <w:uiPriority w:val="99"/>
    <w:rPr>
      <w:rFonts w:eastAsia="仿宋_GB2312"/>
      <w:kern w:val="2"/>
      <w:sz w:val="18"/>
      <w:szCs w:val="18"/>
    </w:rPr>
  </w:style>
  <w:style w:type="character" w:customStyle="1" w:styleId="13">
    <w:name w:val="页眉 字符"/>
    <w:basedOn w:val="10"/>
    <w:link w:val="6"/>
    <w:qFormat/>
    <w:uiPriority w:val="0"/>
    <w:rPr>
      <w:rFonts w:eastAsia="仿宋_GB2312"/>
      <w:kern w:val="2"/>
      <w:sz w:val="18"/>
      <w:szCs w:val="18"/>
    </w:rPr>
  </w:style>
  <w:style w:type="character" w:customStyle="1" w:styleId="14">
    <w:name w:val="批注框文本 字符"/>
    <w:basedOn w:val="10"/>
    <w:link w:val="4"/>
    <w:qFormat/>
    <w:uiPriority w:val="0"/>
    <w:rPr>
      <w:rFonts w:eastAsia="仿宋_GB2312"/>
      <w:kern w:val="2"/>
      <w:sz w:val="18"/>
      <w:szCs w:val="18"/>
    </w:rPr>
  </w:style>
  <w:style w:type="paragraph" w:styleId="15">
    <w:name w:val="List Paragraph"/>
    <w:basedOn w:val="1"/>
    <w:qFormat/>
    <w:uiPriority w:val="99"/>
    <w:pPr>
      <w:ind w:firstLine="420" w:firstLineChars="200"/>
    </w:pPr>
  </w:style>
  <w:style w:type="character" w:customStyle="1" w:styleId="16">
    <w:name w:val="font31"/>
    <w:basedOn w:val="10"/>
    <w:qFormat/>
    <w:uiPriority w:val="0"/>
    <w:rPr>
      <w:rFonts w:ascii="Wingdings" w:hAnsi="Wingdings" w:cs="Wingdings"/>
      <w:color w:val="000000"/>
      <w:sz w:val="20"/>
      <w:szCs w:val="20"/>
      <w:u w:val="none"/>
    </w:rPr>
  </w:style>
  <w:style w:type="character" w:customStyle="1" w:styleId="17">
    <w:name w:val="font21"/>
    <w:basedOn w:val="10"/>
    <w:qFormat/>
    <w:uiPriority w:val="0"/>
    <w:rPr>
      <w:rFonts w:hint="eastAsia" w:ascii="仿宋" w:hAnsi="仿宋" w:eastAsia="仿宋" w:cs="仿宋"/>
      <w:color w:val="000000"/>
      <w:sz w:val="20"/>
      <w:szCs w:val="20"/>
      <w:u w:val="none"/>
    </w:rPr>
  </w:style>
  <w:style w:type="character" w:customStyle="1" w:styleId="18">
    <w:name w:val="font51"/>
    <w:basedOn w:val="10"/>
    <w:qFormat/>
    <w:uiPriority w:val="0"/>
    <w:rPr>
      <w:rFonts w:hint="eastAsia" w:ascii="仿宋" w:hAnsi="仿宋" w:eastAsia="仿宋" w:cs="仿宋"/>
      <w:color w:val="FF0000"/>
      <w:sz w:val="20"/>
      <w:szCs w:val="20"/>
      <w:u w:val="none"/>
    </w:rPr>
  </w:style>
  <w:style w:type="character" w:customStyle="1" w:styleId="19">
    <w:name w:val="font91"/>
    <w:basedOn w:val="10"/>
    <w:qFormat/>
    <w:uiPriority w:val="0"/>
    <w:rPr>
      <w:rFonts w:ascii="Wingdings" w:hAnsi="Wingdings" w:cs="Wingdings"/>
      <w:color w:val="000000"/>
      <w:sz w:val="20"/>
      <w:szCs w:val="20"/>
      <w:u w:val="none"/>
    </w:rPr>
  </w:style>
  <w:style w:type="character" w:customStyle="1" w:styleId="20">
    <w:name w:val="font101"/>
    <w:basedOn w:val="10"/>
    <w:qFormat/>
    <w:uiPriority w:val="0"/>
    <w:rPr>
      <w:rFonts w:hint="eastAsia" w:ascii="仿宋" w:hAnsi="仿宋" w:eastAsia="仿宋" w:cs="仿宋"/>
      <w:color w:val="000000"/>
      <w:sz w:val="20"/>
      <w:szCs w:val="20"/>
      <w:u w:val="none"/>
    </w:rPr>
  </w:style>
  <w:style w:type="character" w:customStyle="1" w:styleId="21">
    <w:name w:val="font71"/>
    <w:basedOn w:val="10"/>
    <w:qFormat/>
    <w:uiPriority w:val="0"/>
    <w:rPr>
      <w:rFonts w:hint="eastAsia" w:ascii="仿宋" w:hAnsi="仿宋" w:eastAsia="仿宋" w:cs="仿宋"/>
      <w:color w:val="000000"/>
      <w:sz w:val="20"/>
      <w:szCs w:val="20"/>
      <w:u w:val="none"/>
    </w:rPr>
  </w:style>
  <w:style w:type="character" w:customStyle="1" w:styleId="22">
    <w:name w:val="font11"/>
    <w:basedOn w:val="10"/>
    <w:qFormat/>
    <w:uiPriority w:val="0"/>
    <w:rPr>
      <w:rFonts w:hint="eastAsia" w:ascii="仿宋" w:hAnsi="仿宋" w:eastAsia="仿宋" w:cs="仿宋"/>
      <w:color w:val="000000"/>
      <w:sz w:val="20"/>
      <w:szCs w:val="20"/>
      <w:u w:val="none"/>
    </w:rPr>
  </w:style>
  <w:style w:type="character" w:customStyle="1" w:styleId="23">
    <w:name w:val="font61"/>
    <w:basedOn w:val="10"/>
    <w:qFormat/>
    <w:uiPriority w:val="0"/>
    <w:rPr>
      <w:rFonts w:hint="eastAsia" w:ascii="仿宋" w:hAnsi="仿宋" w:eastAsia="仿宋" w:cs="仿宋"/>
      <w:color w:val="000000"/>
      <w:sz w:val="20"/>
      <w:szCs w:val="20"/>
      <w:u w:val="none"/>
    </w:rPr>
  </w:style>
  <w:style w:type="character" w:customStyle="1" w:styleId="24">
    <w:name w:val="font112"/>
    <w:basedOn w:val="10"/>
    <w:qFormat/>
    <w:uiPriority w:val="0"/>
    <w:rPr>
      <w:rFonts w:hint="eastAsia"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4661</Words>
  <Characters>5047</Characters>
  <Lines>6</Lines>
  <Paragraphs>10</Paragraphs>
  <TotalTime>1</TotalTime>
  <ScaleCrop>false</ScaleCrop>
  <LinksUpToDate>false</LinksUpToDate>
  <CharactersWithSpaces>5316</CharactersWithSpaces>
  <Application>WPS Office_11.1.0.13012_F1E327BC-269C-435d-A152-05C5408002CA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2021-02-26T14:13:00Z</dcterms:created>
  <dc:creator>lhn</dc:creator>
  <cp:lastModifiedBy>长了毛的面包</cp:lastModifiedBy>
  <cp:lastPrinted>2020-12-04T01:52:00Z</cp:lastPrinted>
  <dcterms:modified xsi:type="dcterms:W3CDTF">2023-04-20T10:43:27Z</dcterms:modified>
  <dc:title>财政支出绩效评价报告</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A1C6F6DCA77E46D4BF05062161E5DD11</vt:lpwstr>
  </property>
</Properties>
</file>